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霓屿街道</w:t>
      </w:r>
      <w:r>
        <w:rPr>
          <w:rFonts w:hint="eastAsia" w:ascii="方正小标宋简体" w:eastAsia="方正小标宋简体"/>
          <w:sz w:val="44"/>
          <w:szCs w:val="44"/>
        </w:rPr>
        <w:t>2020年政府信息公开工作年度报告</w:t>
      </w:r>
    </w:p>
    <w:p>
      <w:pPr>
        <w:spacing w:line="572" w:lineRule="exact"/>
        <w:jc w:val="center"/>
        <w:rPr>
          <w:rFonts w:ascii="仿宋_GB2312" w:hAnsi="微软雅黑" w:eastAsia="仿宋_GB2312" w:cs="仿宋_GB2312"/>
          <w:sz w:val="32"/>
          <w:szCs w:val="32"/>
        </w:rPr>
      </w:pPr>
    </w:p>
    <w:p>
      <w:pPr>
        <w:spacing w:line="572" w:lineRule="exact"/>
        <w:ind w:firstLine="640" w:firstLineChars="200"/>
        <w:jc w:val="left"/>
        <w:rPr>
          <w:rFonts w:hint="eastAsia" w:ascii="仿宋_GB2312" w:hAnsi="微软雅黑" w:eastAsia="仿宋_GB2312" w:cs="仿宋_GB2312"/>
          <w:sz w:val="32"/>
          <w:szCs w:val="32"/>
        </w:rPr>
      </w:pPr>
      <w:r>
        <w:rPr>
          <w:rFonts w:ascii="仿宋_GB2312" w:hAnsi="微软雅黑" w:eastAsia="仿宋_GB2312" w:cs="仿宋_GB2312"/>
          <w:sz w:val="32"/>
          <w:szCs w:val="32"/>
        </w:rPr>
        <w:t>根据《中华人民共和国政府信息公开条例》（以下简称《条例》）规定</w:t>
      </w:r>
      <w:r>
        <w:rPr>
          <w:rFonts w:hint="eastAsia" w:ascii="仿宋_GB2312" w:hAnsi="微软雅黑" w:eastAsia="仿宋_GB2312" w:cs="仿宋_GB2312"/>
          <w:sz w:val="32"/>
          <w:szCs w:val="32"/>
          <w:lang w:eastAsia="zh-CN"/>
        </w:rPr>
        <w:t>以及上级文件要求</w:t>
      </w:r>
      <w:r>
        <w:rPr>
          <w:rFonts w:ascii="仿宋_GB2312" w:hAnsi="微软雅黑" w:eastAsia="仿宋_GB2312" w:cs="仿宋_GB2312"/>
          <w:sz w:val="32"/>
          <w:szCs w:val="32"/>
        </w:rPr>
        <w:t>，</w:t>
      </w:r>
      <w:r>
        <w:rPr>
          <w:rFonts w:hint="eastAsia" w:ascii="仿宋_GB2312" w:hAnsi="微软雅黑" w:eastAsia="仿宋_GB2312" w:cs="仿宋_GB2312"/>
          <w:sz w:val="32"/>
          <w:szCs w:val="32"/>
          <w:lang w:eastAsia="zh-CN"/>
        </w:rPr>
        <w:t>特从政务信息公开工作</w:t>
      </w:r>
      <w:r>
        <w:rPr>
          <w:rFonts w:hint="eastAsia" w:ascii="仿宋_GB2312" w:hAnsi="微软雅黑" w:eastAsia="仿宋_GB2312" w:cs="仿宋_GB2312"/>
          <w:sz w:val="32"/>
          <w:szCs w:val="32"/>
        </w:rPr>
        <w:t>总体情况、主动公开政府信息情况、收到和处理政府信息公开申请情况、政府信息公开行政复议、行政诉讼情况、存在的主要问题及改进情况及其他需要报告的事项等六个部分</w:t>
      </w:r>
      <w:r>
        <w:rPr>
          <w:rFonts w:hint="eastAsia" w:ascii="仿宋_GB2312" w:hAnsi="微软雅黑" w:eastAsia="仿宋_GB2312" w:cs="仿宋_GB2312"/>
          <w:sz w:val="32"/>
          <w:szCs w:val="32"/>
          <w:lang w:eastAsia="zh-CN"/>
        </w:rPr>
        <w:t>编制</w:t>
      </w:r>
      <w:r>
        <w:rPr>
          <w:rFonts w:hint="eastAsia" w:ascii="仿宋_GB2312" w:hAnsi="微软雅黑" w:eastAsia="仿宋_GB2312" w:cs="仿宋_GB2312"/>
          <w:sz w:val="32"/>
          <w:szCs w:val="32"/>
          <w:lang w:val="en-US" w:eastAsia="zh-CN"/>
        </w:rPr>
        <w:t>2020年度洞头区霓屿街道政府信息公开工作年度报告并向社会公布，报告中所列数据的统计期限从2020年1月1日至12月31日止。</w:t>
      </w:r>
    </w:p>
    <w:p>
      <w:pPr>
        <w:numPr>
          <w:ilvl w:val="0"/>
          <w:numId w:val="1"/>
        </w:numPr>
        <w:spacing w:line="572" w:lineRule="exact"/>
        <w:ind w:firstLine="640" w:firstLineChars="200"/>
        <w:jc w:val="left"/>
        <w:rPr>
          <w:rFonts w:hint="eastAsia" w:ascii="黑体" w:hAnsi="黑体" w:eastAsia="黑体" w:cs="仿宋_GB2312"/>
          <w:bCs/>
          <w:sz w:val="32"/>
          <w:szCs w:val="32"/>
        </w:rPr>
      </w:pPr>
      <w:r>
        <w:rPr>
          <w:rFonts w:hint="eastAsia" w:ascii="黑体" w:hAnsi="黑体" w:eastAsia="黑体" w:cs="仿宋_GB2312"/>
          <w:bCs/>
          <w:sz w:val="32"/>
          <w:szCs w:val="32"/>
        </w:rPr>
        <w:t>总体情况</w:t>
      </w:r>
    </w:p>
    <w:p>
      <w:pPr>
        <w:spacing w:line="572" w:lineRule="exact"/>
        <w:ind w:firstLine="640" w:firstLineChars="200"/>
        <w:jc w:val="left"/>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2020</w:t>
      </w:r>
      <w:r>
        <w:rPr>
          <w:rFonts w:hint="default" w:ascii="仿宋_GB2312" w:hAnsi="微软雅黑" w:eastAsia="仿宋_GB2312" w:cs="仿宋_GB2312"/>
          <w:sz w:val="32"/>
          <w:szCs w:val="32"/>
        </w:rPr>
        <w:t>年，</w:t>
      </w:r>
      <w:r>
        <w:rPr>
          <w:rFonts w:hint="eastAsia" w:ascii="仿宋_GB2312" w:hAnsi="微软雅黑" w:eastAsia="仿宋_GB2312" w:cs="仿宋_GB2312"/>
          <w:sz w:val="32"/>
          <w:szCs w:val="32"/>
          <w:lang w:eastAsia="zh-CN"/>
        </w:rPr>
        <w:t>霓屿街道在区委、区政府的正确领导下，紧紧围绕</w:t>
      </w:r>
      <w:r>
        <w:rPr>
          <w:rFonts w:hint="default" w:ascii="仿宋_GB2312" w:hAnsi="微软雅黑" w:eastAsia="仿宋_GB2312" w:cs="仿宋_GB2312"/>
          <w:sz w:val="32"/>
          <w:szCs w:val="32"/>
        </w:rPr>
        <w:t>《温州市洞头区人民政府办公室关于进一步加强政务公开工作的通知》</w:t>
      </w:r>
      <w:r>
        <w:rPr>
          <w:rFonts w:hint="eastAsia" w:ascii="仿宋_GB2312" w:hAnsi="微软雅黑" w:eastAsia="仿宋_GB2312" w:cs="仿宋_GB2312"/>
          <w:sz w:val="32"/>
          <w:szCs w:val="32"/>
          <w:lang w:eastAsia="zh-CN"/>
        </w:rPr>
        <w:t>，按照</w:t>
      </w:r>
      <w:r>
        <w:rPr>
          <w:rFonts w:hint="default" w:ascii="仿宋_GB2312" w:hAnsi="微软雅黑" w:eastAsia="仿宋_GB2312" w:cs="仿宋_GB2312"/>
          <w:sz w:val="32"/>
          <w:szCs w:val="32"/>
        </w:rPr>
        <w:t>区委、区政府中心工作要求，结合信息工作实际，切实加强组织领导，</w:t>
      </w:r>
      <w:r>
        <w:rPr>
          <w:rFonts w:hint="eastAsia" w:ascii="仿宋_GB2312" w:hAnsi="微软雅黑" w:eastAsia="仿宋_GB2312" w:cs="仿宋_GB2312"/>
          <w:sz w:val="32"/>
          <w:szCs w:val="32"/>
          <w:lang w:eastAsia="zh-CN"/>
        </w:rPr>
        <w:t>不断</w:t>
      </w:r>
      <w:r>
        <w:rPr>
          <w:rFonts w:hint="default" w:ascii="仿宋_GB2312" w:hAnsi="微软雅黑" w:eastAsia="仿宋_GB2312" w:cs="仿宋_GB2312"/>
          <w:sz w:val="32"/>
          <w:szCs w:val="32"/>
        </w:rPr>
        <w:t>建立健全工作机制，</w:t>
      </w:r>
      <w:r>
        <w:rPr>
          <w:rFonts w:hint="eastAsia" w:ascii="仿宋_GB2312" w:hAnsi="微软雅黑" w:eastAsia="仿宋_GB2312" w:cs="仿宋_GB2312"/>
          <w:sz w:val="32"/>
          <w:szCs w:val="32"/>
          <w:lang w:eastAsia="zh-CN"/>
        </w:rPr>
        <w:t>在完善信息发布渠道，深化信息公开内容、提高信息公开质量方面取得了新进展</w:t>
      </w:r>
      <w:r>
        <w:rPr>
          <w:rFonts w:hint="default" w:ascii="仿宋_GB2312" w:hAnsi="微软雅黑" w:eastAsia="仿宋_GB2312" w:cs="仿宋_GB2312"/>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rPr>
          <w:rFonts w:hint="default" w:ascii="仿宋_GB2312" w:hAnsi="微软雅黑" w:eastAsia="仿宋_GB2312" w:cs="仿宋_GB2312"/>
          <w:kern w:val="2"/>
          <w:sz w:val="32"/>
          <w:szCs w:val="32"/>
          <w:lang w:val="en-US" w:eastAsia="zh-CN" w:bidi="ar-SA"/>
        </w:rPr>
      </w:pPr>
      <w:r>
        <w:rPr>
          <w:rFonts w:hint="eastAsia" w:ascii="仿宋_GB2312" w:hAnsi="微软雅黑" w:eastAsia="仿宋_GB2312" w:cs="仿宋_GB2312"/>
          <w:b/>
          <w:bCs/>
          <w:kern w:val="2"/>
          <w:sz w:val="32"/>
          <w:szCs w:val="32"/>
          <w:lang w:val="en-US" w:eastAsia="zh-CN" w:bidi="ar-SA"/>
        </w:rPr>
        <w:t>1、</w:t>
      </w:r>
      <w:r>
        <w:rPr>
          <w:rFonts w:hint="default" w:ascii="仿宋_GB2312" w:hAnsi="微软雅黑" w:eastAsia="仿宋_GB2312" w:cs="仿宋_GB2312"/>
          <w:b/>
          <w:bCs/>
          <w:kern w:val="2"/>
          <w:sz w:val="32"/>
          <w:szCs w:val="32"/>
          <w:lang w:val="en-US" w:eastAsia="zh-CN" w:bidi="ar-SA"/>
        </w:rPr>
        <w:t>加强组织领导。</w:t>
      </w:r>
      <w:r>
        <w:rPr>
          <w:rFonts w:hint="default" w:ascii="仿宋_GB2312" w:hAnsi="微软雅黑" w:eastAsia="仿宋_GB2312" w:cs="仿宋_GB2312"/>
          <w:kern w:val="2"/>
          <w:sz w:val="32"/>
          <w:szCs w:val="32"/>
          <w:lang w:val="en-US" w:eastAsia="zh-CN" w:bidi="ar-SA"/>
        </w:rPr>
        <w:t>为加强对政府信息公开工作的领导，专门成立由</w:t>
      </w:r>
      <w:r>
        <w:rPr>
          <w:rFonts w:hint="eastAsia" w:ascii="仿宋_GB2312" w:hAnsi="微软雅黑" w:eastAsia="仿宋_GB2312" w:cs="仿宋_GB2312"/>
          <w:kern w:val="2"/>
          <w:sz w:val="32"/>
          <w:szCs w:val="32"/>
          <w:lang w:val="en-US" w:eastAsia="zh-CN" w:bidi="ar-SA"/>
        </w:rPr>
        <w:t>街道办事处党工委书记</w:t>
      </w:r>
      <w:r>
        <w:rPr>
          <w:rFonts w:hint="default" w:ascii="仿宋_GB2312" w:hAnsi="微软雅黑" w:eastAsia="仿宋_GB2312" w:cs="仿宋_GB2312"/>
          <w:kern w:val="2"/>
          <w:sz w:val="32"/>
          <w:szCs w:val="32"/>
          <w:lang w:val="en-US" w:eastAsia="zh-CN" w:bidi="ar-SA"/>
        </w:rPr>
        <w:t>担任组长、党工委副书记和纪工委书记为副组长、相关科室人员组织的政府信息公开工作领导小组</w:t>
      </w:r>
      <w:r>
        <w:rPr>
          <w:rFonts w:hint="eastAsia" w:ascii="仿宋_GB2312" w:hAnsi="微软雅黑" w:eastAsia="仿宋_GB2312" w:cs="仿宋_GB2312"/>
          <w:kern w:val="2"/>
          <w:sz w:val="32"/>
          <w:szCs w:val="32"/>
          <w:lang w:val="en-US" w:eastAsia="zh-CN" w:bidi="ar-SA"/>
        </w:rPr>
        <w:t>，</w:t>
      </w:r>
      <w:r>
        <w:rPr>
          <w:rFonts w:hint="default" w:ascii="仿宋_GB2312" w:hAnsi="微软雅黑" w:eastAsia="仿宋_GB2312" w:cs="仿宋_GB2312"/>
          <w:kern w:val="2"/>
          <w:sz w:val="32"/>
          <w:szCs w:val="32"/>
          <w:lang w:val="en-US" w:eastAsia="zh-CN" w:bidi="ar-SA"/>
        </w:rPr>
        <w:t>明确工作责任，落实专人负责，</w:t>
      </w:r>
      <w:r>
        <w:rPr>
          <w:rFonts w:hint="eastAsia" w:ascii="仿宋_GB2312" w:hAnsi="微软雅黑" w:eastAsia="仿宋_GB2312" w:cs="仿宋_GB2312"/>
          <w:kern w:val="2"/>
          <w:sz w:val="32"/>
          <w:szCs w:val="32"/>
          <w:lang w:val="en-US" w:eastAsia="zh-CN" w:bidi="ar-SA"/>
        </w:rPr>
        <w:t>为街道</w:t>
      </w:r>
      <w:r>
        <w:rPr>
          <w:rFonts w:hint="default" w:ascii="仿宋_GB2312" w:hAnsi="微软雅黑" w:eastAsia="仿宋_GB2312" w:cs="仿宋_GB2312"/>
          <w:kern w:val="2"/>
          <w:sz w:val="32"/>
          <w:szCs w:val="32"/>
          <w:lang w:val="en-US" w:eastAsia="zh-CN" w:bidi="ar-SA"/>
        </w:rPr>
        <w:t>政府信息公开工作有序开展奠定了坚实的基础。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b/>
          <w:bCs/>
          <w:kern w:val="2"/>
          <w:sz w:val="32"/>
          <w:szCs w:val="32"/>
          <w:lang w:val="en-US" w:eastAsia="zh-CN" w:bidi="ar-SA"/>
        </w:rPr>
        <w:t>2、健全</w:t>
      </w:r>
      <w:r>
        <w:rPr>
          <w:rFonts w:hint="default" w:ascii="仿宋_GB2312" w:hAnsi="微软雅黑" w:eastAsia="仿宋_GB2312" w:cs="仿宋_GB2312"/>
          <w:b/>
          <w:bCs/>
          <w:kern w:val="2"/>
          <w:sz w:val="32"/>
          <w:szCs w:val="32"/>
          <w:lang w:val="en-US" w:eastAsia="zh-CN" w:bidi="ar-SA"/>
        </w:rPr>
        <w:t>工作机制。</w:t>
      </w:r>
      <w:r>
        <w:rPr>
          <w:rFonts w:hint="default" w:ascii="仿宋_GB2312" w:hAnsi="微软雅黑" w:eastAsia="仿宋_GB2312" w:cs="仿宋_GB2312"/>
          <w:kern w:val="2"/>
          <w:sz w:val="32"/>
          <w:szCs w:val="32"/>
          <w:lang w:val="en-US" w:eastAsia="zh-CN" w:bidi="ar-SA"/>
        </w:rPr>
        <w:t>为规范政府信息公开的程序，方便群众查阅，相继建立了主动公开工作制度、依申请公开工作制度、保密审查制度、工作台账制度、责任追究制度等政府信息公开工作制度。要求信息公开工作联络员在收发文的同时，及时上传主动公开信息</w:t>
      </w:r>
      <w:r>
        <w:rPr>
          <w:rFonts w:hint="eastAsia" w:ascii="仿宋_GB2312" w:hAnsi="微软雅黑" w:eastAsia="仿宋_GB2312" w:cs="仿宋_GB2312"/>
          <w:kern w:val="2"/>
          <w:sz w:val="32"/>
          <w:szCs w:val="32"/>
          <w:lang w:val="en-US" w:eastAsia="zh-CN" w:bidi="ar-SA"/>
        </w:rPr>
        <w:t>,</w:t>
      </w:r>
      <w:r>
        <w:rPr>
          <w:rFonts w:hint="default" w:ascii="仿宋_GB2312" w:hAnsi="微软雅黑" w:eastAsia="仿宋_GB2312" w:cs="仿宋_GB2312"/>
          <w:kern w:val="2"/>
          <w:sz w:val="32"/>
          <w:szCs w:val="32"/>
          <w:lang w:val="en-US" w:eastAsia="zh-CN" w:bidi="ar-SA"/>
        </w:rPr>
        <w:t>各科室主动报送可公开的总结、规划、制度、政务动态等材料，充实政府信息公开专栏的内容。</w:t>
      </w:r>
    </w:p>
    <w:p>
      <w:pPr>
        <w:spacing w:line="572" w:lineRule="exact"/>
        <w:ind w:firstLine="643" w:firstLineChars="200"/>
        <w:jc w:val="left"/>
        <w:rPr>
          <w:rFonts w:hint="eastAsia" w:ascii="仿宋_GB2312" w:hAnsi="微软雅黑" w:eastAsia="仿宋_GB2312" w:cs="仿宋_GB2312"/>
          <w:kern w:val="2"/>
          <w:sz w:val="32"/>
          <w:szCs w:val="32"/>
          <w:lang w:val="en-US" w:eastAsia="zh-CN" w:bidi="ar-SA"/>
        </w:rPr>
      </w:pPr>
      <w:r>
        <w:rPr>
          <w:rFonts w:hint="default" w:ascii="仿宋_GB2312" w:hAnsi="微软雅黑" w:eastAsia="仿宋_GB2312" w:cs="仿宋_GB2312"/>
          <w:b/>
          <w:bCs/>
          <w:kern w:val="2"/>
          <w:sz w:val="32"/>
          <w:szCs w:val="32"/>
          <w:lang w:val="en-US" w:eastAsia="zh-CN" w:bidi="ar-SA"/>
        </w:rPr>
        <w:t>3、完善信息发布渠道。</w:t>
      </w:r>
      <w:r>
        <w:rPr>
          <w:rFonts w:hint="default" w:ascii="仿宋_GB2312" w:hAnsi="微软雅黑" w:eastAsia="仿宋_GB2312" w:cs="仿宋_GB2312"/>
          <w:kern w:val="2"/>
          <w:sz w:val="32"/>
          <w:szCs w:val="32"/>
          <w:lang w:val="en-US" w:eastAsia="zh-CN" w:bidi="ar-SA"/>
        </w:rPr>
        <w:t>进一步完善霓屿前沿门户网站建设，并落实专人负责网站日常运行和管理，确保及时更新和公布各类信息，充分发挥霓屿前沿网站作为政府信息公开第一平台的作用，并利用官方微博等手段扩大公开范围。建设好政府信息公开专栏，集中发布主动公开的政府信息。</w:t>
      </w:r>
      <w:r>
        <w:rPr>
          <w:rFonts w:hint="eastAsia" w:ascii="仿宋_GB2312" w:hAnsi="微软雅黑" w:eastAsia="仿宋_GB2312" w:cs="仿宋_GB2312"/>
          <w:kern w:val="2"/>
          <w:sz w:val="32"/>
          <w:szCs w:val="32"/>
          <w:lang w:val="en-US" w:eastAsia="zh-CN" w:bidi="ar-SA"/>
        </w:rPr>
        <w:t>2020年，街道通过各类平台、途径主动公开或主动回应信息126余条。</w:t>
      </w:r>
    </w:p>
    <w:p>
      <w:pPr>
        <w:spacing w:line="572" w:lineRule="exact"/>
        <w:ind w:firstLine="960" w:firstLineChars="300"/>
        <w:jc w:val="left"/>
        <w:rPr>
          <w:rFonts w:hint="eastAsia" w:ascii="黑体" w:hAnsi="黑体" w:eastAsia="黑体" w:cs="仿宋_GB2312"/>
          <w:bCs/>
          <w:sz w:val="32"/>
          <w:szCs w:val="32"/>
        </w:rPr>
      </w:pPr>
      <w:r>
        <w:rPr>
          <w:rFonts w:hint="eastAsia" w:ascii="黑体" w:hAnsi="黑体" w:eastAsia="黑体" w:cs="仿宋_GB2312"/>
          <w:bCs/>
          <w:sz w:val="32"/>
          <w:szCs w:val="32"/>
        </w:rPr>
        <w:t>二、主动公开政府信息情况</w:t>
      </w:r>
    </w:p>
    <w:tbl>
      <w:tblPr>
        <w:tblStyle w:val="5"/>
        <w:tblW w:w="9125" w:type="dxa"/>
        <w:jc w:val="center"/>
        <w:tblLayout w:type="autofit"/>
        <w:tblCellMar>
          <w:top w:w="0" w:type="dxa"/>
          <w:left w:w="0" w:type="dxa"/>
          <w:bottom w:w="0" w:type="dxa"/>
          <w:right w:w="0" w:type="dxa"/>
        </w:tblCellMar>
      </w:tblPr>
      <w:tblGrid>
        <w:gridCol w:w="3113"/>
        <w:gridCol w:w="1875"/>
        <w:gridCol w:w="6"/>
        <w:gridCol w:w="1265"/>
        <w:gridCol w:w="2866"/>
      </w:tblGrid>
      <w:tr>
        <w:tblPrEx>
          <w:tblCellMar>
            <w:top w:w="0" w:type="dxa"/>
            <w:left w:w="0" w:type="dxa"/>
            <w:bottom w:w="0" w:type="dxa"/>
            <w:right w:w="0" w:type="dxa"/>
          </w:tblCellMar>
        </w:tblPrEx>
        <w:trPr>
          <w:trHeight w:val="495" w:hRule="atLeast"/>
          <w:jc w:val="center"/>
        </w:trPr>
        <w:tc>
          <w:tcPr>
            <w:tcW w:w="9125"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lang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本年新</w:t>
            </w:r>
            <w:r>
              <w:rPr>
                <w:rFonts w:hint="eastAsia" w:ascii="宋体" w:hAnsi="宋体" w:cs="宋体"/>
                <w:kern w:val="0"/>
                <w:sz w:val="20"/>
                <w:szCs w:val="20"/>
                <w:lang w:bidi="ar"/>
              </w:rPr>
              <w:br w:type="textWrapping"/>
            </w:r>
            <w:r>
              <w:rPr>
                <w:rFonts w:cs="Times New Roman"/>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本年新</w:t>
            </w:r>
            <w:r>
              <w:rPr>
                <w:rFonts w:hint="eastAsia" w:ascii="宋体" w:hAnsi="宋体" w:cs="宋体"/>
                <w:kern w:val="0"/>
                <w:sz w:val="20"/>
                <w:szCs w:val="20"/>
                <w:lang w:bidi="ar"/>
              </w:rPr>
              <w:br w:type="textWrapping"/>
            </w:r>
            <w:r>
              <w:rPr>
                <w:rFonts w:cs="Times New Roman"/>
                <w:kern w:val="0"/>
                <w:sz w:val="20"/>
                <w:szCs w:val="20"/>
                <w:lang w:bidi="ar"/>
              </w:rPr>
              <w:t>公开数量</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规章</w:t>
            </w:r>
          </w:p>
        </w:tc>
        <w:tc>
          <w:tcPr>
            <w:tcW w:w="187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0</w:t>
            </w:r>
            <w:bookmarkStart w:id="0" w:name="_GoBack"/>
            <w:bookmarkEnd w:id="0"/>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2</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2</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2</w:t>
            </w:r>
          </w:p>
        </w:tc>
      </w:tr>
      <w:tr>
        <w:tblPrEx>
          <w:tblCellMar>
            <w:top w:w="0" w:type="dxa"/>
            <w:left w:w="0" w:type="dxa"/>
            <w:bottom w:w="0" w:type="dxa"/>
            <w:right w:w="0" w:type="dxa"/>
          </w:tblCellMar>
        </w:tblPrEx>
        <w:trPr>
          <w:trHeight w:val="480"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lang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本年增/减</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行政许可</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其他对外管理服务事项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406"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lang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本年增/减</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行政处罚</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行政强制</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474"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lang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上一年项目数量</w:t>
            </w:r>
          </w:p>
        </w:tc>
        <w:tc>
          <w:tcPr>
            <w:tcW w:w="4131"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行政事业性收费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4131" w:type="dxa"/>
            <w:gridSpan w:val="2"/>
            <w:tcBorders>
              <w:top w:val="nil"/>
              <w:left w:val="nil"/>
              <w:bottom w:val="single" w:color="auto" w:sz="8" w:space="0"/>
              <w:right w:val="single" w:color="000000"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476"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lang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采购项目数量</w:t>
            </w:r>
          </w:p>
        </w:tc>
        <w:tc>
          <w:tcPr>
            <w:tcW w:w="4131"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lang w:bidi="ar"/>
              </w:rPr>
              <w:t>政府集中采购</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4131" w:type="dxa"/>
            <w:gridSpan w:val="2"/>
            <w:tcBorders>
              <w:top w:val="nil"/>
              <w:left w:val="nil"/>
              <w:bottom w:val="single" w:color="auto" w:sz="8" w:space="0"/>
              <w:right w:val="single" w:color="000000" w:sz="8" w:space="0"/>
            </w:tcBorders>
            <w:noWrap/>
            <w:tcMar>
              <w:left w:w="108" w:type="dxa"/>
              <w:right w:w="108" w:type="dxa"/>
            </w:tcMar>
            <w:vAlign w:val="center"/>
          </w:tcPr>
          <w:p>
            <w:pPr>
              <w:spacing w:line="0" w:lineRule="atLeast"/>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4"/>
        <w:shd w:val="clear" w:color="auto" w:fill="FFFFFF"/>
        <w:spacing w:before="0" w:beforeAutospacing="0" w:after="0" w:afterAutospacing="0" w:line="572" w:lineRule="exact"/>
        <w:ind w:firstLine="640" w:firstLineChars="200"/>
        <w:jc w:val="both"/>
        <w:rPr>
          <w:rFonts w:hint="eastAsia" w:ascii="黑体" w:hAnsi="黑体" w:eastAsia="黑体" w:cs="仿宋_GB2312"/>
          <w:bCs/>
          <w:kern w:val="2"/>
          <w:sz w:val="32"/>
          <w:szCs w:val="32"/>
        </w:rPr>
      </w:pPr>
      <w:r>
        <w:rPr>
          <w:rFonts w:hint="eastAsia" w:ascii="黑体" w:hAnsi="黑体" w:eastAsia="黑体" w:cs="仿宋_GB2312"/>
          <w:bCs/>
          <w:kern w:val="2"/>
          <w:sz w:val="32"/>
          <w:szCs w:val="32"/>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13" w:type="dxa"/>
            <w:vMerge w:val="restart"/>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自然人</w:t>
            </w:r>
          </w:p>
        </w:tc>
        <w:tc>
          <w:tcPr>
            <w:tcW w:w="400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法人或其他组织</w:t>
            </w:r>
          </w:p>
        </w:tc>
        <w:tc>
          <w:tcPr>
            <w:tcW w:w="69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13"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科研机构</w:t>
            </w:r>
          </w:p>
        </w:tc>
        <w:tc>
          <w:tcPr>
            <w:tcW w:w="813"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社会公益组织</w:t>
            </w:r>
          </w:p>
        </w:tc>
        <w:tc>
          <w:tcPr>
            <w:tcW w:w="973"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法律服务机构</w:t>
            </w:r>
          </w:p>
        </w:tc>
        <w:tc>
          <w:tcPr>
            <w:tcW w:w="711"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其他</w:t>
            </w:r>
          </w:p>
        </w:tc>
        <w:tc>
          <w:tcPr>
            <w:tcW w:w="69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宋体" w:hAnsi="宋体" w:cs="宋体"/>
                <w:kern w:val="0"/>
                <w:sz w:val="20"/>
                <w:szCs w:val="20"/>
                <w:lang w:bidi="ar"/>
              </w:rPr>
              <w:t>一、本年新收政府信息公开申请数量</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宋体" w:hAnsi="宋体" w:cs="宋体"/>
                <w:kern w:val="0"/>
                <w:sz w:val="20"/>
                <w:szCs w:val="20"/>
                <w:lang w:bidi="ar"/>
              </w:rPr>
              <w:t>二、上年结转政府信息公开申请数量</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ascii="楷体" w:hAnsi="楷体" w:eastAsia="楷体" w:cs="楷体"/>
                <w:kern w:val="0"/>
                <w:sz w:val="20"/>
                <w:szCs w:val="20"/>
                <w:lang w:bidi="ar"/>
              </w:rPr>
              <w:t>（一）予以公开</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（二）部分公开（区分处理的，只计这一情形，不计其他情形）</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cs="Times New Roman"/>
                <w:szCs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cs="Times New Roman"/>
                <w:szCs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cs="Times New Roman"/>
                <w:szCs w:val="24"/>
              </w:rP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cs="Times New Roman"/>
                <w:szCs w:val="24"/>
              </w:rP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cs="Times New Roman"/>
                <w:szCs w:val="24"/>
              </w:rP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cs="Times New Roman"/>
                <w:szCs w:val="24"/>
              </w:rP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cs="Times New Roman"/>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1.属于国家秘密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2.其他法律行政法规禁止公开</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3.危及“三安全一稳定”</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4.保护第三方合法权益</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5.属于三类内部事务信息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6.属于四类过程性信息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7.属于行政执法案卷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8.属于行政查询事项</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1.本机关不掌握相关政府信息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2.没有现成信息需要另行制作</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3.补正后申请内容仍不明确</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1.信访举报投诉类申请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2.重复申请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3.要求提供公开出版物</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4.无正当理由大量反复申请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5.要求行政机关确认或重新出具已获取信息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（六）其他处理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楷体" w:hAnsi="楷体" w:eastAsia="楷体" w:cs="楷体"/>
                <w:kern w:val="0"/>
                <w:sz w:val="20"/>
                <w:szCs w:val="20"/>
                <w:lang w:bidi="ar"/>
              </w:rPr>
              <w:t>（七）总计</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jc w:val="left"/>
            </w:pPr>
            <w:r>
              <w:rPr>
                <w:rFonts w:hint="eastAsia" w:ascii="宋体" w:hAnsi="宋体" w:cs="宋体"/>
                <w:kern w:val="0"/>
                <w:sz w:val="20"/>
                <w:szCs w:val="20"/>
                <w:lang w:bidi="ar"/>
              </w:rPr>
              <w:t>四、结转下年度继续办理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rPr>
                <w:rFonts w:hint="eastAsia" w:ascii="Calibri" w:hAnsi="Calibri" w:eastAsia="宋体" w:cs="黑体"/>
                <w:kern w:val="2"/>
                <w:sz w:val="21"/>
                <w:szCs w:val="22"/>
                <w:lang w:val="en-US" w:eastAsia="zh-CN" w:bidi="ar-SA"/>
              </w:rPr>
            </w:pPr>
            <w:r>
              <w:rPr>
                <w:rFonts w:hint="eastAsia"/>
                <w:lang w:val="en-US" w:eastAsia="zh-CN"/>
              </w:rPr>
              <w:t>0</w:t>
            </w:r>
          </w:p>
        </w:tc>
      </w:tr>
    </w:tbl>
    <w:p>
      <w:pPr>
        <w:pStyle w:val="4"/>
        <w:shd w:val="clear" w:color="auto" w:fill="FFFFFF"/>
        <w:spacing w:before="0" w:beforeAutospacing="0" w:after="0" w:afterAutospacing="0" w:line="572" w:lineRule="exact"/>
        <w:ind w:firstLine="320" w:firstLineChars="100"/>
        <w:jc w:val="both"/>
        <w:rPr>
          <w:rFonts w:hint="eastAsia" w:ascii="黑体" w:hAnsi="黑体" w:eastAsia="黑体" w:cs="仿宋_GB2312"/>
          <w:bCs/>
          <w:kern w:val="2"/>
          <w:sz w:val="32"/>
          <w:szCs w:val="32"/>
        </w:rPr>
      </w:pPr>
      <w:r>
        <w:rPr>
          <w:rFonts w:hint="eastAsia" w:ascii="黑体" w:hAnsi="黑体" w:eastAsia="黑体" w:cs="仿宋_GB2312"/>
          <w:bCs/>
          <w:kern w:val="2"/>
          <w:sz w:val="32"/>
          <w:szCs w:val="32"/>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1" w:hRule="atLeast"/>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jc w:val="center"/>
            </w:pPr>
            <w:r>
              <w:rPr>
                <w:rFonts w:cs="Calibri"/>
                <w:kern w:val="0"/>
                <w:sz w:val="20"/>
                <w:szCs w:val="20"/>
                <w:lang w:bidi="ar"/>
              </w:rPr>
              <w:t> </w:t>
            </w:r>
            <w:r>
              <w:rPr>
                <w:rFonts w:hint="eastAsia"/>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spacing w:line="0" w:lineRule="atLeast"/>
              <w:rPr>
                <w:rFonts w:hint="eastAsia" w:ascii="宋体"/>
                <w:sz w:val="24"/>
                <w:szCs w:val="24"/>
              </w:rPr>
            </w:pPr>
            <w:r>
              <w:rPr>
                <w:rFonts w:cs="Calibri"/>
                <w:kern w:val="0"/>
                <w:sz w:val="20"/>
                <w:szCs w:val="20"/>
                <w:lang w:bidi="ar"/>
              </w:rPr>
              <w:t> </w:t>
            </w:r>
            <w:r>
              <w:rPr>
                <w:rFonts w:hint="eastAsia"/>
                <w:lang w:val="en-US" w:eastAsia="zh-CN"/>
              </w:rPr>
              <w:t>0</w:t>
            </w:r>
          </w:p>
        </w:tc>
      </w:tr>
    </w:tbl>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仿宋_GB2312"/>
          <w:bCs/>
          <w:kern w:val="2"/>
          <w:sz w:val="32"/>
          <w:szCs w:val="32"/>
        </w:rPr>
      </w:pPr>
      <w:r>
        <w:rPr>
          <w:rFonts w:hint="eastAsia" w:ascii="黑体" w:hAnsi="黑体" w:eastAsia="黑体" w:cs="仿宋_GB2312"/>
          <w:bCs/>
          <w:kern w:val="2"/>
          <w:sz w:val="32"/>
          <w:szCs w:val="32"/>
        </w:rPr>
        <w:t>五、存在的主要问题及改进情况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ascii="仿宋_GB2312" w:eastAsia="仿宋_GB2312"/>
          <w:color w:val="333333"/>
          <w:sz w:val="32"/>
          <w:szCs w:val="32"/>
          <w:shd w:val="clear" w:color="auto" w:fill="FFFFFF"/>
        </w:rPr>
      </w:pPr>
      <w:r>
        <w:rPr>
          <w:rFonts w:hint="eastAsia" w:ascii="仿宋_GB2312" w:hAnsi="宋体" w:eastAsia="仿宋_GB2312" w:cs="仿宋_GB2312"/>
          <w:i w:val="0"/>
          <w:caps w:val="0"/>
          <w:color w:val="000000"/>
          <w:spacing w:val="0"/>
          <w:sz w:val="32"/>
          <w:szCs w:val="32"/>
          <w:shd w:val="clear" w:fill="FFFFFF"/>
          <w:lang w:eastAsia="zh-CN"/>
        </w:rPr>
        <w:t>一年来，我街道贯彻实施《条例》</w:t>
      </w:r>
      <w:r>
        <w:rPr>
          <w:rFonts w:ascii="仿宋_GB2312" w:hAnsi="宋体" w:eastAsia="仿宋_GB2312" w:cs="仿宋_GB2312"/>
          <w:i w:val="0"/>
          <w:caps w:val="0"/>
          <w:color w:val="000000"/>
          <w:spacing w:val="0"/>
          <w:sz w:val="32"/>
          <w:szCs w:val="32"/>
          <w:shd w:val="clear" w:fill="FFFFFF"/>
        </w:rPr>
        <w:t>虽然取得了一定成绩，但与</w:t>
      </w:r>
      <w:r>
        <w:rPr>
          <w:rFonts w:hint="eastAsia" w:ascii="仿宋_GB2312" w:hAnsi="宋体" w:eastAsia="仿宋_GB2312" w:cs="仿宋_GB2312"/>
          <w:i w:val="0"/>
          <w:caps w:val="0"/>
          <w:color w:val="000000"/>
          <w:spacing w:val="0"/>
          <w:sz w:val="32"/>
          <w:szCs w:val="32"/>
          <w:shd w:val="clear" w:fill="FFFFFF"/>
          <w:lang w:eastAsia="zh-CN"/>
        </w:rPr>
        <w:t>区</w:t>
      </w:r>
      <w:r>
        <w:rPr>
          <w:rFonts w:ascii="仿宋_GB2312" w:hAnsi="宋体" w:eastAsia="仿宋_GB2312" w:cs="仿宋_GB2312"/>
          <w:i w:val="0"/>
          <w:caps w:val="0"/>
          <w:color w:val="000000"/>
          <w:spacing w:val="0"/>
          <w:sz w:val="32"/>
          <w:szCs w:val="32"/>
          <w:shd w:val="clear" w:fill="FFFFFF"/>
        </w:rPr>
        <w:t>委、</w:t>
      </w:r>
      <w:r>
        <w:rPr>
          <w:rFonts w:hint="eastAsia" w:ascii="仿宋_GB2312" w:hAnsi="宋体" w:eastAsia="仿宋_GB2312" w:cs="仿宋_GB2312"/>
          <w:i w:val="0"/>
          <w:caps w:val="0"/>
          <w:color w:val="000000"/>
          <w:spacing w:val="0"/>
          <w:sz w:val="32"/>
          <w:szCs w:val="32"/>
          <w:shd w:val="clear" w:fill="FFFFFF"/>
          <w:lang w:eastAsia="zh-CN"/>
        </w:rPr>
        <w:t>区</w:t>
      </w:r>
      <w:r>
        <w:rPr>
          <w:rFonts w:ascii="仿宋_GB2312" w:hAnsi="宋体" w:eastAsia="仿宋_GB2312" w:cs="仿宋_GB2312"/>
          <w:i w:val="0"/>
          <w:caps w:val="0"/>
          <w:color w:val="000000"/>
          <w:spacing w:val="0"/>
          <w:sz w:val="32"/>
          <w:szCs w:val="32"/>
          <w:shd w:val="clear" w:fill="FFFFFF"/>
        </w:rPr>
        <w:t>政府的要求和人民群众的</w:t>
      </w:r>
      <w:r>
        <w:rPr>
          <w:rFonts w:hint="eastAsia" w:ascii="仿宋_GB2312" w:hAnsi="宋体" w:eastAsia="仿宋_GB2312" w:cs="仿宋_GB2312"/>
          <w:i w:val="0"/>
          <w:caps w:val="0"/>
          <w:color w:val="000000"/>
          <w:spacing w:val="0"/>
          <w:sz w:val="32"/>
          <w:szCs w:val="32"/>
          <w:shd w:val="clear" w:fill="FFFFFF"/>
          <w:lang w:eastAsia="zh-CN"/>
        </w:rPr>
        <w:t>期望</w:t>
      </w:r>
      <w:r>
        <w:rPr>
          <w:rFonts w:ascii="仿宋_GB2312" w:hAnsi="宋体" w:eastAsia="仿宋_GB2312" w:cs="仿宋_GB2312"/>
          <w:i w:val="0"/>
          <w:caps w:val="0"/>
          <w:color w:val="000000"/>
          <w:spacing w:val="0"/>
          <w:sz w:val="32"/>
          <w:szCs w:val="32"/>
          <w:shd w:val="clear" w:fill="FFFFFF"/>
        </w:rPr>
        <w:t>相比，还存在着一定的差距，具体体现在</w:t>
      </w:r>
      <w:r>
        <w:rPr>
          <w:rFonts w:hint="eastAsia" w:ascii="仿宋_GB2312" w:hAnsi="宋体" w:eastAsia="仿宋_GB2312" w:cs="仿宋_GB2312"/>
          <w:i w:val="0"/>
          <w:caps w:val="0"/>
          <w:color w:val="000000"/>
          <w:spacing w:val="0"/>
          <w:sz w:val="32"/>
          <w:szCs w:val="32"/>
          <w:shd w:val="clear" w:fill="FFFFFF"/>
          <w:lang w:eastAsia="zh-CN"/>
        </w:rPr>
        <w:t>公开意识有待进一步提高、</w:t>
      </w:r>
      <w:r>
        <w:rPr>
          <w:rFonts w:ascii="仿宋_GB2312" w:hAnsi="宋体" w:eastAsia="仿宋_GB2312" w:cs="仿宋_GB2312"/>
          <w:i w:val="0"/>
          <w:caps w:val="0"/>
          <w:color w:val="000000"/>
          <w:spacing w:val="0"/>
          <w:sz w:val="32"/>
          <w:szCs w:val="32"/>
          <w:shd w:val="clear" w:fill="FFFFFF"/>
        </w:rPr>
        <w:t>公开规范化</w:t>
      </w:r>
      <w:r>
        <w:rPr>
          <w:rFonts w:hint="eastAsia" w:ascii="仿宋_GB2312" w:hAnsi="宋体" w:eastAsia="仿宋_GB2312" w:cs="仿宋_GB2312"/>
          <w:i w:val="0"/>
          <w:caps w:val="0"/>
          <w:color w:val="000000"/>
          <w:spacing w:val="0"/>
          <w:sz w:val="32"/>
          <w:szCs w:val="32"/>
          <w:shd w:val="clear" w:fill="FFFFFF"/>
          <w:lang w:eastAsia="zh-CN"/>
        </w:rPr>
        <w:t>建设</w:t>
      </w:r>
      <w:r>
        <w:rPr>
          <w:rFonts w:ascii="仿宋_GB2312" w:hAnsi="宋体" w:eastAsia="仿宋_GB2312" w:cs="仿宋_GB2312"/>
          <w:i w:val="0"/>
          <w:caps w:val="0"/>
          <w:color w:val="000000"/>
          <w:spacing w:val="0"/>
          <w:sz w:val="32"/>
          <w:szCs w:val="32"/>
          <w:shd w:val="clear" w:fill="FFFFFF"/>
        </w:rPr>
        <w:t>有待进一步</w:t>
      </w:r>
      <w:r>
        <w:rPr>
          <w:rFonts w:hint="eastAsia" w:ascii="仿宋_GB2312" w:hAnsi="宋体" w:eastAsia="仿宋_GB2312" w:cs="仿宋_GB2312"/>
          <w:i w:val="0"/>
          <w:caps w:val="0"/>
          <w:color w:val="000000"/>
          <w:spacing w:val="0"/>
          <w:sz w:val="32"/>
          <w:szCs w:val="32"/>
          <w:shd w:val="clear" w:fill="FFFFFF"/>
          <w:lang w:eastAsia="zh-CN"/>
        </w:rPr>
        <w:t>加强</w:t>
      </w:r>
      <w:r>
        <w:rPr>
          <w:rFonts w:ascii="仿宋_GB2312" w:hAnsi="宋体" w:eastAsia="仿宋_GB2312" w:cs="仿宋_GB2312"/>
          <w:i w:val="0"/>
          <w:caps w:val="0"/>
          <w:color w:val="000000"/>
          <w:spacing w:val="0"/>
          <w:sz w:val="32"/>
          <w:szCs w:val="32"/>
          <w:shd w:val="clear" w:fill="FFFFFF"/>
        </w:rPr>
        <w:t>、工作机制有待进一步完善等等。在下一步工作中，</w:t>
      </w:r>
      <w:r>
        <w:rPr>
          <w:rFonts w:hint="eastAsia" w:ascii="仿宋_GB2312" w:hAnsi="宋体" w:eastAsia="仿宋_GB2312" w:cs="仿宋_GB2312"/>
          <w:i w:val="0"/>
          <w:caps w:val="0"/>
          <w:color w:val="000000"/>
          <w:spacing w:val="0"/>
          <w:sz w:val="32"/>
          <w:szCs w:val="32"/>
          <w:shd w:val="clear" w:fill="FFFFFF"/>
          <w:lang w:eastAsia="zh-CN"/>
        </w:rPr>
        <w:t>街道</w:t>
      </w:r>
      <w:r>
        <w:rPr>
          <w:rFonts w:ascii="仿宋_GB2312" w:hAnsi="宋体" w:eastAsia="仿宋_GB2312" w:cs="仿宋_GB2312"/>
          <w:i w:val="0"/>
          <w:caps w:val="0"/>
          <w:color w:val="000000"/>
          <w:spacing w:val="0"/>
          <w:sz w:val="32"/>
          <w:szCs w:val="32"/>
          <w:shd w:val="clear" w:fill="FFFFFF"/>
        </w:rPr>
        <w:t>将着力从三个方面改进</w:t>
      </w:r>
      <w:r>
        <w:rPr>
          <w:rFonts w:hint="eastAsia" w:ascii="仿宋_GB2312" w:hAnsi="宋体" w:eastAsia="仿宋_GB2312" w:cs="仿宋_GB2312"/>
          <w:i w:val="0"/>
          <w:caps w:val="0"/>
          <w:color w:val="000000"/>
          <w:spacing w:val="0"/>
          <w:sz w:val="32"/>
          <w:szCs w:val="32"/>
          <w:shd w:val="clear" w:fill="FFFFFF"/>
          <w:lang w:eastAsia="zh-CN"/>
        </w:rPr>
        <w:t>政府信息</w:t>
      </w:r>
      <w:r>
        <w:rPr>
          <w:rFonts w:ascii="仿宋_GB2312" w:hAnsi="宋体" w:eastAsia="仿宋_GB2312" w:cs="仿宋_GB2312"/>
          <w:i w:val="0"/>
          <w:caps w:val="0"/>
          <w:color w:val="000000"/>
          <w:spacing w:val="0"/>
          <w:sz w:val="32"/>
          <w:szCs w:val="32"/>
          <w:shd w:val="clear" w:fill="FFFFFF"/>
        </w:rPr>
        <w:t>公开工作：一是进一步提高对政务公开工作的认识，增强政务公开主动性。二是进一步完善政务公开的内容，优化公开方式，加强门户网站管理，确保全面、准确、及时公开政务信息。三是进一步健全和完善各项规章制度，</w:t>
      </w:r>
      <w:r>
        <w:rPr>
          <w:rFonts w:hint="eastAsia" w:ascii="仿宋_GB2312" w:hAnsi="宋体" w:eastAsia="仿宋_GB2312" w:cs="仿宋_GB2312"/>
          <w:i w:val="0"/>
          <w:caps w:val="0"/>
          <w:color w:val="000000"/>
          <w:spacing w:val="0"/>
          <w:sz w:val="32"/>
          <w:szCs w:val="32"/>
          <w:shd w:val="clear" w:fill="FFFFFF"/>
          <w:lang w:eastAsia="zh-CN"/>
        </w:rPr>
        <w:t>加大</w:t>
      </w:r>
      <w:r>
        <w:rPr>
          <w:rFonts w:ascii="仿宋_GB2312" w:hAnsi="宋体" w:eastAsia="仿宋_GB2312" w:cs="仿宋_GB2312"/>
          <w:i w:val="0"/>
          <w:caps w:val="0"/>
          <w:color w:val="000000"/>
          <w:spacing w:val="0"/>
          <w:sz w:val="32"/>
          <w:szCs w:val="32"/>
          <w:shd w:val="clear" w:fill="FFFFFF"/>
        </w:rPr>
        <w:t>建立长效的工作新机制</w:t>
      </w:r>
      <w:r>
        <w:rPr>
          <w:rFonts w:hint="eastAsia" w:ascii="仿宋_GB2312" w:hAnsi="宋体" w:eastAsia="仿宋_GB2312" w:cs="仿宋_GB2312"/>
          <w:i w:val="0"/>
          <w:caps w:val="0"/>
          <w:color w:val="000000"/>
          <w:spacing w:val="0"/>
          <w:sz w:val="32"/>
          <w:szCs w:val="32"/>
          <w:shd w:val="clear" w:fill="FFFFFF"/>
          <w:lang w:eastAsia="zh-CN"/>
        </w:rPr>
        <w:t>力度</w:t>
      </w:r>
      <w:r>
        <w:rPr>
          <w:rFonts w:ascii="仿宋_GB2312" w:hAnsi="宋体" w:eastAsia="仿宋_GB2312" w:cs="仿宋_GB2312"/>
          <w:i w:val="0"/>
          <w:caps w:val="0"/>
          <w:color w:val="000000"/>
          <w:spacing w:val="0"/>
          <w:sz w:val="32"/>
          <w:szCs w:val="32"/>
          <w:shd w:val="clear" w:fill="FFFFFF"/>
        </w:rPr>
        <w:t>，不断把政务工作推上一个新的台阶。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仿宋_GB2312"/>
          <w:bCs/>
          <w:kern w:val="2"/>
          <w:sz w:val="32"/>
          <w:szCs w:val="32"/>
        </w:rPr>
      </w:pPr>
      <w:r>
        <w:rPr>
          <w:rFonts w:hint="eastAsia" w:ascii="黑体" w:hAnsi="黑体" w:eastAsia="黑体" w:cs="仿宋_GB2312"/>
          <w:bCs/>
          <w:kern w:val="2"/>
          <w:sz w:val="32"/>
          <w:szCs w:val="32"/>
        </w:rPr>
        <w:t>六、其他需要报告的事项</w:t>
      </w:r>
    </w:p>
    <w:p>
      <w:pPr>
        <w:pStyle w:val="4"/>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firstLine="620" w:firstLineChars="200"/>
        <w:textAlignment w:val="auto"/>
        <w:rPr>
          <w:rFonts w:hint="eastAsia" w:ascii="仿宋_GB2312" w:hAnsi="微软雅黑" w:eastAsia="仿宋_GB2312" w:cs="仿宋_GB2312"/>
          <w:sz w:val="31"/>
          <w:szCs w:val="31"/>
        </w:rPr>
      </w:pPr>
      <w:r>
        <w:rPr>
          <w:rFonts w:hint="eastAsia" w:ascii="仿宋_GB2312" w:hAnsi="微软雅黑" w:eastAsia="仿宋_GB2312" w:cs="仿宋_GB2312"/>
          <w:sz w:val="31"/>
          <w:szCs w:val="31"/>
        </w:rPr>
        <w:t>这一项主要报告本机关认为需要报告的其他事项，以及其他有关文件专门要求通过政府信息公开工作年度报告予以报告的事项。主要有以下内容：</w:t>
      </w:r>
    </w:p>
    <w:p>
      <w:pPr>
        <w:pStyle w:val="4"/>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firstLine="620" w:firstLineChars="200"/>
        <w:textAlignment w:val="auto"/>
        <w:rPr>
          <w:rFonts w:hint="eastAsia" w:ascii="仿宋_GB2312" w:hAnsi="微软雅黑" w:eastAsia="仿宋_GB2312" w:cs="仿宋_GB2312"/>
          <w:sz w:val="31"/>
          <w:szCs w:val="31"/>
        </w:rPr>
      </w:pPr>
      <w:r>
        <w:rPr>
          <w:rFonts w:hint="eastAsia" w:ascii="仿宋_GB2312" w:hAnsi="微软雅黑" w:eastAsia="仿宋_GB2312" w:cs="仿宋_GB2312"/>
          <w:sz w:val="31"/>
          <w:szCs w:val="31"/>
        </w:rPr>
        <w:t>2020全年共办理人大建议</w:t>
      </w:r>
      <w:r>
        <w:rPr>
          <w:rFonts w:hint="eastAsia" w:ascii="仿宋_GB2312" w:hAnsi="微软雅黑" w:eastAsia="仿宋_GB2312" w:cs="仿宋_GB2312"/>
          <w:sz w:val="31"/>
          <w:szCs w:val="31"/>
          <w:lang w:val="en-US" w:eastAsia="zh-CN"/>
        </w:rPr>
        <w:t>5</w:t>
      </w:r>
      <w:r>
        <w:rPr>
          <w:rFonts w:hint="eastAsia" w:ascii="仿宋_GB2312" w:hAnsi="微软雅黑" w:eastAsia="仿宋_GB2312" w:cs="仿宋_GB2312"/>
          <w:sz w:val="31"/>
          <w:szCs w:val="31"/>
        </w:rPr>
        <w:t>件，提出的看法和意见共</w:t>
      </w:r>
      <w:r>
        <w:rPr>
          <w:rFonts w:hint="eastAsia" w:ascii="仿宋_GB2312" w:hAnsi="微软雅黑" w:eastAsia="仿宋_GB2312" w:cs="仿宋_GB2312"/>
          <w:sz w:val="31"/>
          <w:szCs w:val="31"/>
          <w:lang w:val="en-US" w:eastAsia="zh-CN"/>
        </w:rPr>
        <w:t>12</w:t>
      </w:r>
      <w:r>
        <w:rPr>
          <w:rFonts w:hint="eastAsia" w:ascii="仿宋_GB2312" w:hAnsi="微软雅黑" w:eastAsia="仿宋_GB2312" w:cs="仿宋_GB2312"/>
          <w:sz w:val="31"/>
          <w:szCs w:val="31"/>
        </w:rPr>
        <w:t>件，</w:t>
      </w:r>
      <w:r>
        <w:rPr>
          <w:rFonts w:hint="eastAsia" w:ascii="仿宋_GB2312" w:hAnsi="微软雅黑" w:eastAsia="仿宋_GB2312" w:cs="仿宋_GB2312"/>
          <w:sz w:val="31"/>
          <w:szCs w:val="31"/>
          <w:lang w:val="en-US" w:eastAsia="zh-CN"/>
        </w:rPr>
        <w:t>5</w:t>
      </w:r>
      <w:r>
        <w:rPr>
          <w:rFonts w:hint="eastAsia" w:ascii="仿宋_GB2312" w:hAnsi="微软雅黑" w:eastAsia="仿宋_GB2312" w:cs="仿宋_GB2312"/>
          <w:sz w:val="31"/>
          <w:szCs w:val="31"/>
        </w:rPr>
        <w:t>项民生实事项目</w:t>
      </w:r>
      <w:r>
        <w:rPr>
          <w:rFonts w:hint="eastAsia" w:ascii="仿宋_GB2312" w:hAnsi="微软雅黑" w:eastAsia="仿宋_GB2312" w:cs="仿宋_GB2312"/>
          <w:sz w:val="31"/>
          <w:szCs w:val="31"/>
          <w:lang w:eastAsia="zh-CN"/>
        </w:rPr>
        <w:t>，</w:t>
      </w:r>
      <w:r>
        <w:rPr>
          <w:rFonts w:hint="eastAsia" w:ascii="仿宋_GB2312" w:hAnsi="微软雅黑" w:eastAsia="仿宋_GB2312" w:cs="仿宋_GB2312"/>
          <w:sz w:val="31"/>
          <w:szCs w:val="31"/>
        </w:rPr>
        <w:t>均在规定时限内办复，办复率均达100%，答复满意率100%</w:t>
      </w:r>
      <w:r>
        <w:rPr>
          <w:rFonts w:hint="eastAsia" w:ascii="仿宋_GB2312" w:hAnsi="微软雅黑" w:eastAsia="仿宋_GB2312" w:cs="仿宋_GB2312"/>
          <w:sz w:val="31"/>
          <w:szCs w:val="31"/>
          <w:lang w:eastAsia="zh-CN"/>
        </w:rPr>
        <w:t>，</w:t>
      </w:r>
      <w:r>
        <w:rPr>
          <w:rFonts w:hint="eastAsia" w:ascii="仿宋_GB2312" w:hAnsi="微软雅黑" w:eastAsia="仿宋_GB2312" w:cs="仿宋_GB2312"/>
          <w:sz w:val="31"/>
          <w:szCs w:val="31"/>
        </w:rPr>
        <w:t>达到了预期办理效果。</w:t>
      </w:r>
    </w:p>
    <w:p>
      <w:pPr>
        <w:pStyle w:val="4"/>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firstLine="620" w:firstLineChars="200"/>
        <w:textAlignment w:val="auto"/>
      </w:pPr>
      <w:r>
        <w:rPr>
          <w:rFonts w:hint="eastAsia" w:ascii="仿宋_GB2312" w:hAnsi="微软雅黑" w:eastAsia="仿宋_GB2312" w:cs="仿宋_GB2312"/>
          <w:sz w:val="31"/>
          <w:szCs w:val="31"/>
        </w:rPr>
        <w:t>以上为2020年度政府信息公开工作报告。报告的电子版可在洞头区政府门户网站上下载。如对报告内容有疑问，请与</w:t>
      </w:r>
      <w:r>
        <w:rPr>
          <w:rFonts w:hint="eastAsia" w:ascii="仿宋_GB2312" w:hAnsi="微软雅黑" w:eastAsia="仿宋_GB2312" w:cs="仿宋_GB2312"/>
          <w:sz w:val="31"/>
          <w:szCs w:val="31"/>
          <w:lang w:eastAsia="zh-CN"/>
        </w:rPr>
        <w:t>洞头区霓屿街道办事处</w:t>
      </w:r>
      <w:r>
        <w:rPr>
          <w:rFonts w:hint="eastAsia" w:ascii="仿宋_GB2312" w:hAnsi="微软雅黑" w:eastAsia="仿宋_GB2312" w:cs="仿宋_GB2312"/>
          <w:sz w:val="31"/>
          <w:szCs w:val="31"/>
        </w:rPr>
        <w:t>联系</w:t>
      </w:r>
      <w:r>
        <w:rPr>
          <w:rFonts w:hint="eastAsia" w:ascii="仿宋_GB2312" w:hAnsi="微软雅黑" w:eastAsia="仿宋_GB2312" w:cs="仿宋_GB2312"/>
          <w:sz w:val="31"/>
          <w:szCs w:val="31"/>
          <w:lang w:eastAsia="zh-CN"/>
        </w:rPr>
        <w:t>（电话：</w:t>
      </w:r>
      <w:r>
        <w:rPr>
          <w:rFonts w:hint="eastAsia" w:ascii="仿宋_GB2312" w:hAnsi="微软雅黑" w:eastAsia="仿宋_GB2312" w:cs="仿宋_GB2312"/>
          <w:sz w:val="31"/>
          <w:szCs w:val="31"/>
          <w:lang w:val="en-US" w:eastAsia="zh-CN"/>
        </w:rPr>
        <w:t>0577-63422117</w:t>
      </w:r>
      <w:r>
        <w:rPr>
          <w:rFonts w:hint="eastAsia" w:ascii="仿宋_GB2312" w:hAnsi="微软雅黑" w:eastAsia="仿宋_GB2312" w:cs="仿宋_GB2312"/>
          <w:sz w:val="31"/>
          <w:szCs w:val="31"/>
          <w:lang w:eastAsia="zh-CN"/>
        </w:rPr>
        <w:t>）</w:t>
      </w:r>
      <w:r>
        <w:rPr>
          <w:rFonts w:hint="eastAsia" w:ascii="仿宋_GB2312" w:hAnsi="微软雅黑" w:eastAsia="仿宋_GB2312" w:cs="仿宋_GB2312"/>
          <w:sz w:val="31"/>
          <w:szCs w:val="31"/>
        </w:rPr>
        <w:t>。</w:t>
      </w:r>
    </w:p>
    <w:sectPr>
      <w:headerReference r:id="rId3" w:type="default"/>
      <w:footerReference r:id="rId4" w:type="default"/>
      <w:footerReference r:id="rId5" w:type="even"/>
      <w:pgSz w:w="11907" w:h="16840"/>
      <w:pgMar w:top="2098" w:right="1474" w:bottom="1984" w:left="1588" w:header="851" w:footer="1361" w:gutter="0"/>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posOffset>4566285</wp:posOffset>
              </wp:positionH>
              <wp:positionV relativeFrom="paragraph">
                <wp:posOffset>-91440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360" w:firstLine="360"/>
                          </w:pPr>
                          <w:r>
                            <w:rPr>
                              <w:rStyle w:val="8"/>
                              <w:rFonts w:ascii="宋体" w:hAnsi="宋体"/>
                              <w:sz w:val="28"/>
                            </w:rPr>
                            <w:t xml:space="preserve">— </w:t>
                          </w:r>
                          <w:r>
                            <w:rPr>
                              <w:rFonts w:ascii="宋体" w:hAnsi="宋体"/>
                              <w:sz w:val="28"/>
                            </w:rPr>
                            <w:fldChar w:fldCharType="begin"/>
                          </w:r>
                          <w:r>
                            <w:rPr>
                              <w:rStyle w:val="8"/>
                              <w:rFonts w:ascii="宋体" w:hAnsi="宋体"/>
                              <w:sz w:val="28"/>
                            </w:rPr>
                            <w:instrText xml:space="preserve">PAGE  </w:instrText>
                          </w:r>
                          <w:r>
                            <w:rPr>
                              <w:rFonts w:ascii="宋体" w:hAnsi="宋体"/>
                              <w:sz w:val="28"/>
                            </w:rPr>
                            <w:fldChar w:fldCharType="separate"/>
                          </w:r>
                          <w:r>
                            <w:rPr>
                              <w:rStyle w:val="8"/>
                              <w:rFonts w:ascii="宋体" w:hAnsi="宋体"/>
                              <w:sz w:val="28"/>
                            </w:rPr>
                            <w:t>9</w:t>
                          </w:r>
                          <w:r>
                            <w:rPr>
                              <w:rFonts w:ascii="宋体" w:hAnsi="宋体"/>
                              <w:sz w:val="28"/>
                            </w:rPr>
                            <w:fldChar w:fldCharType="end"/>
                          </w:r>
                          <w:r>
                            <w:rPr>
                              <w:rStyle w:val="8"/>
                              <w:rFonts w:ascii="宋体" w:hAnsi="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59.55pt;margin-top:-7.2pt;height:144pt;width:144pt;mso-position-horizontal-relative:margin;mso-wrap-style:none;z-index:251658240;mso-width-relative:page;mso-height-relative:page;" filled="f" stroked="f" coordsize="21600,21600" o:gfxdata="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aDEcYsDv/z8&#10;cfn15/L7O1lmefoANWbdB8xLwzs/5NTJD+jMrAcVbf4iH4JxFPd8FVcOiYj8aL1arysMCYzNF8Rh&#10;D89DhPReekuy0dCI0yui8tNHSGPqnJKrOX+njUE/r437x4GY2cNy72OP2UrDfpga3/v2jHx6HHxD&#10;He45JeaDQ13zjsxGnI39bBxD1IeuLFGuB+H2mLCJ0luuMMJOhXFihd20XXklHt9L1sMftf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9fHatgAAAAMAQAADwAAAAAAAAABACAAAAAiAAAAZHJzL2Rv&#10;d25yZXYueG1sUEsBAhQAFAAAAAgAh07iQOSi/s/IAQAAmQMAAA4AAAAAAAAAAQAgAAAAJwEAAGRy&#10;cy9lMm9Eb2MueG1sUEsFBgAAAAAGAAYAWQEAAGEFAAAAAA==&#10;">
              <v:fill on="f" focussize="0,0"/>
              <v:stroke on="f"/>
              <v:imagedata o:title=""/>
              <o:lock v:ext="edit" aspectratio="f"/>
              <v:textbox inset="0mm,0mm,0mm,0mm" style="mso-fit-shape-to-text:t;">
                <w:txbxContent>
                  <w:p>
                    <w:pPr>
                      <w:pStyle w:val="2"/>
                      <w:ind w:right="360" w:firstLine="360"/>
                    </w:pPr>
                    <w:r>
                      <w:rPr>
                        <w:rStyle w:val="8"/>
                        <w:rFonts w:ascii="宋体" w:hAnsi="宋体"/>
                        <w:sz w:val="28"/>
                      </w:rPr>
                      <w:t xml:space="preserve">— </w:t>
                    </w:r>
                    <w:r>
                      <w:rPr>
                        <w:rFonts w:ascii="宋体" w:hAnsi="宋体"/>
                        <w:sz w:val="28"/>
                      </w:rPr>
                      <w:fldChar w:fldCharType="begin"/>
                    </w:r>
                    <w:r>
                      <w:rPr>
                        <w:rStyle w:val="8"/>
                        <w:rFonts w:ascii="宋体" w:hAnsi="宋体"/>
                        <w:sz w:val="28"/>
                      </w:rPr>
                      <w:instrText xml:space="preserve">PAGE  </w:instrText>
                    </w:r>
                    <w:r>
                      <w:rPr>
                        <w:rFonts w:ascii="宋体" w:hAnsi="宋体"/>
                        <w:sz w:val="28"/>
                      </w:rPr>
                      <w:fldChar w:fldCharType="separate"/>
                    </w:r>
                    <w:r>
                      <w:rPr>
                        <w:rStyle w:val="8"/>
                        <w:rFonts w:ascii="宋体" w:hAnsi="宋体"/>
                        <w:sz w:val="28"/>
                      </w:rPr>
                      <w:t>9</w:t>
                    </w:r>
                    <w:r>
                      <w:rPr>
                        <w:rFonts w:ascii="宋体" w:hAnsi="宋体"/>
                        <w:sz w:val="28"/>
                      </w:rPr>
                      <w:fldChar w:fldCharType="end"/>
                    </w:r>
                    <w:r>
                      <w:rPr>
                        <w:rStyle w:val="8"/>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180" w:firstLineChars="100"/>
    </w:pPr>
    <w:r>
      <mc:AlternateContent>
        <mc:Choice Requires="wps">
          <w:drawing>
            <wp:anchor distT="0" distB="0" distL="114300" distR="114300" simplePos="0" relativeHeight="251659264" behindDoc="0" locked="0" layoutInCell="1" allowOverlap="1">
              <wp:simplePos x="0" y="0"/>
              <wp:positionH relativeFrom="margin">
                <wp:posOffset>381635</wp:posOffset>
              </wp:positionH>
              <wp:positionV relativeFrom="paragraph">
                <wp:posOffset>-10160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30.05pt;margin-top:-0.8pt;height:144pt;width:144pt;mso-position-horizontal-relative:margin;mso-wrap-style:none;z-index:251659264;mso-width-relative:page;mso-height-relative:page;" filled="f" stroked="f" coordsize="21600,21600" o:gfxdata="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SI6RdYAAAAJAQAADwAAAAAAAAABACAAAAAiAAAAZHJzL2Rvd25y&#10;ZXYueG1sUEsBAhQAFAAAAAgAh07iQPQJJ5fHAQAAmQMAAA4AAAAAAAAAAQAgAAAAJQEAAGRycy9l&#10;Mm9Eb2MueG1sUEsFBgAAAAAGAAYAWQEAAF4FAAAAAA==&#10;">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r>
      <w:rPr>
        <w:rStyle w:val="8"/>
        <w:rFonts w:ascii="宋体" w:hAnsi="宋体"/>
        <w:sz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F6867"/>
    <w:multiLevelType w:val="singleLevel"/>
    <w:tmpl w:val="E4EF68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35974"/>
    <w:rsid w:val="06364ECC"/>
    <w:rsid w:val="1EF03711"/>
    <w:rsid w:val="47DF02BA"/>
    <w:rsid w:val="4B096393"/>
    <w:rsid w:val="59482607"/>
    <w:rsid w:val="71F3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paragraph" w:customStyle="1" w:styleId="9">
    <w:name w:val="Heading 1"/>
    <w:basedOn w:val="1"/>
    <w:qFormat/>
    <w:uiPriority w:val="1"/>
    <w:pPr>
      <w:autoSpaceDE w:val="0"/>
      <w:autoSpaceDN w:val="0"/>
      <w:adjustRightInd w:val="0"/>
      <w:ind w:left="948"/>
      <w:jc w:val="left"/>
      <w:outlineLvl w:val="0"/>
    </w:pPr>
    <w:rPr>
      <w:rFonts w:ascii="Microsoft JhengHei" w:eastAsia="Microsoft JhengHei" w:cs="Microsoft JhengHei"/>
      <w:kern w:val="0"/>
      <w:sz w:val="39"/>
      <w:szCs w:val="39"/>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2021-01-20T02:11:00Z</dcterms:created>
  <dc:creator>Administrator</dc:creator>
  <cp:lastModifiedBy>木妈</cp:lastModifiedBy>
  <dcterms:modified xsi:type="dcterms:W3CDTF">2021-02-08T07:07:26Z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