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hint="eastAsia" w:ascii="方正小标宋简体" w:eastAsia="方正小标宋简体"/>
          <w:sz w:val="44"/>
          <w:szCs w:val="44"/>
        </w:rPr>
      </w:pPr>
      <w:r>
        <w:rPr>
          <w:rFonts w:hint="eastAsia" w:ascii="方正小标宋简体" w:eastAsia="方正小标宋简体"/>
          <w:sz w:val="44"/>
          <w:szCs w:val="44"/>
        </w:rPr>
        <w:t>温州市洞头区农业农村局</w:t>
      </w:r>
    </w:p>
    <w:p>
      <w:pPr>
        <w:spacing w:line="572" w:lineRule="exact"/>
        <w:jc w:val="center"/>
        <w:rPr>
          <w:rFonts w:hint="eastAsia" w:ascii="方正小标宋简体" w:eastAsia="方正小标宋简体"/>
          <w:sz w:val="44"/>
          <w:szCs w:val="44"/>
        </w:rPr>
      </w:pPr>
      <w:r>
        <w:rPr>
          <w:rFonts w:hint="eastAsia" w:ascii="方正小标宋简体" w:eastAsia="方正小标宋简体"/>
          <w:sz w:val="44"/>
          <w:szCs w:val="44"/>
        </w:rPr>
        <w:t>2020年政府信息公开工作年度报告</w:t>
      </w:r>
    </w:p>
    <w:p>
      <w:pPr>
        <w:spacing w:line="572" w:lineRule="exact"/>
        <w:jc w:val="center"/>
        <w:rPr>
          <w:rFonts w:hint="eastAsia" w:ascii="仿宋_GB2312" w:hAnsi="仿宋_GB2312" w:eastAsia="仿宋_GB2312" w:cs="仿宋_GB2312"/>
          <w:sz w:val="44"/>
          <w:szCs w:val="44"/>
        </w:rPr>
      </w:pPr>
    </w:p>
    <w:p>
      <w:pPr>
        <w:spacing w:line="572"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本年度报告根据《中华人民共和国政府信息公开条例》（以下简称《条例》）的规定，</w:t>
      </w:r>
      <w:r>
        <w:rPr>
          <w:rFonts w:hint="eastAsia" w:ascii="仿宋" w:hAnsi="仿宋" w:eastAsia="仿宋" w:cs="仿宋_GB2312"/>
          <w:sz w:val="32"/>
          <w:szCs w:val="32"/>
        </w:rPr>
        <w:t>全文包括总体情况、主动公开政府信息情况、收到和处理政府信息公开申请情况、政府信息公开行政复议、行政诉讼情况、存在的主要问题及改进情况及其他需要报告的事项等六个部分，报告中所列数据的统计期限从2020年1月1日至12月31日止。</w:t>
      </w:r>
    </w:p>
    <w:p>
      <w:p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一、总体情况</w:t>
      </w:r>
    </w:p>
    <w:p>
      <w:pPr>
        <w:spacing w:line="572"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2020年，洞头区农业农村局按照上级统一部署和要求，着重抓好制度建设、平台维护、日常管理等方面工作，规范开展政府信息公开工作，有力推进了我局政府信息公开工作有序有效的开展。2020年，累计主动公开政府信息127条。</w:t>
      </w:r>
    </w:p>
    <w:p>
      <w:pPr>
        <w:spacing w:line="572" w:lineRule="exact"/>
        <w:ind w:firstLine="640" w:firstLineChars="200"/>
        <w:rPr>
          <w:rFonts w:ascii="仿宋" w:hAnsi="仿宋" w:eastAsia="仿宋" w:cs="仿宋_GB2312"/>
          <w:sz w:val="32"/>
          <w:szCs w:val="32"/>
        </w:rPr>
      </w:pPr>
      <w:r>
        <w:rPr>
          <w:rFonts w:hint="eastAsia" w:ascii="楷体" w:hAnsi="楷体" w:eastAsia="楷体" w:cs="仿宋_GB2312"/>
          <w:sz w:val="32"/>
          <w:szCs w:val="32"/>
        </w:rPr>
        <w:t>一是落实公开职责。</w:t>
      </w:r>
      <w:r>
        <w:rPr>
          <w:rFonts w:hint="eastAsia" w:ascii="仿宋" w:hAnsi="仿宋" w:eastAsia="仿宋" w:cs="仿宋_GB2312"/>
          <w:sz w:val="32"/>
          <w:szCs w:val="32"/>
        </w:rPr>
        <w:t>把信息公开工作列入重要议事日程，实行目标管理，任务落实到人。建立公文类信息目录备案制度，并纳入政府信息公开工作年度考核范围。各科室认真贯彻落实目标任务，明确信息公开工作的承办人，建立相应的目标责任制，形成政府信息工作内部运转机制。建立督查指导机制，由专人及时检查、跟踪信息更新情况。</w:t>
      </w:r>
    </w:p>
    <w:p>
      <w:pPr>
        <w:spacing w:line="572" w:lineRule="exact"/>
        <w:ind w:firstLine="640" w:firstLineChars="200"/>
        <w:rPr>
          <w:rFonts w:ascii="仿宋" w:hAnsi="仿宋" w:eastAsia="仿宋" w:cs="仿宋_GB2312"/>
          <w:sz w:val="32"/>
          <w:szCs w:val="32"/>
        </w:rPr>
      </w:pPr>
      <w:r>
        <w:rPr>
          <w:rFonts w:hint="eastAsia" w:ascii="楷体" w:hAnsi="楷体" w:eastAsia="楷体" w:cs="仿宋_GB2312"/>
          <w:sz w:val="32"/>
          <w:szCs w:val="32"/>
        </w:rPr>
        <w:t>二是完善公开流程。</w:t>
      </w:r>
      <w:r>
        <w:rPr>
          <w:rFonts w:hint="eastAsia" w:ascii="仿宋" w:hAnsi="仿宋" w:eastAsia="仿宋" w:cs="仿宋_GB2312"/>
          <w:sz w:val="32"/>
          <w:szCs w:val="32"/>
        </w:rPr>
        <w:t>严格做到把好初审关、把好业务关、把好审签关，切实履行将保密审查程序与公文流转程序、信息发布程序紧密结合，防止保密审查和政府信息发布脱节。进一步规范政府信息公开工作流程，将信息区分主动公开、依申请公开和不予公开，并及时将公文类信息目录按月报区府办备案。</w:t>
      </w:r>
    </w:p>
    <w:p>
      <w:pPr>
        <w:spacing w:line="572" w:lineRule="exact"/>
        <w:ind w:firstLine="640" w:firstLineChars="200"/>
        <w:rPr>
          <w:rFonts w:hint="eastAsia" w:ascii="仿宋" w:hAnsi="仿宋" w:eastAsia="仿宋" w:cs="仿宋_GB2312"/>
          <w:sz w:val="32"/>
          <w:szCs w:val="32"/>
        </w:rPr>
      </w:pPr>
      <w:r>
        <w:rPr>
          <w:rFonts w:hint="eastAsia" w:ascii="楷体" w:hAnsi="楷体" w:eastAsia="楷体" w:cs="仿宋_GB2312"/>
          <w:sz w:val="32"/>
          <w:szCs w:val="32"/>
        </w:rPr>
        <w:t>三是深化公开内容。</w:t>
      </w:r>
      <w:r>
        <w:rPr>
          <w:rFonts w:hint="eastAsia" w:ascii="仿宋" w:hAnsi="仿宋" w:eastAsia="仿宋" w:cs="仿宋_GB2312"/>
          <w:sz w:val="32"/>
          <w:szCs w:val="32"/>
        </w:rPr>
        <w:t>认真做好相关政策解读，增进公众对相关法规、规范性文件和政策措施主要条款和内容的理解，提升决策知晓度。不断扩大公开内容，推进公开工作不断深化，注重日常收集和梳理多种信息公开内容，以区政府信息公开网站为发布平台，增大对外公开力度。</w:t>
      </w:r>
    </w:p>
    <w:p>
      <w:p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二、主动公开政府信息情况</w:t>
      </w:r>
    </w:p>
    <w:tbl>
      <w:tblPr>
        <w:tblStyle w:val="5"/>
        <w:tblW w:w="9125" w:type="dxa"/>
        <w:jc w:val="center"/>
        <w:tblLayout w:type="autofit"/>
        <w:tblCellMar>
          <w:top w:w="0" w:type="dxa"/>
          <w:left w:w="0" w:type="dxa"/>
          <w:bottom w:w="0" w:type="dxa"/>
          <w:right w:w="0" w:type="dxa"/>
        </w:tblCellMar>
      </w:tblPr>
      <w:tblGrid>
        <w:gridCol w:w="3113"/>
        <w:gridCol w:w="1875"/>
        <w:gridCol w:w="6"/>
        <w:gridCol w:w="1265"/>
        <w:gridCol w:w="2866"/>
      </w:tblGrid>
      <w:tr>
        <w:tblPrEx>
          <w:tblCellMar>
            <w:top w:w="0" w:type="dxa"/>
            <w:left w:w="0" w:type="dxa"/>
            <w:bottom w:w="0" w:type="dxa"/>
            <w:right w:w="0" w:type="dxa"/>
          </w:tblCellMar>
        </w:tblPrEx>
        <w:trPr>
          <w:trHeight w:val="495" w:hRule="atLeast"/>
          <w:jc w:val="center"/>
        </w:trPr>
        <w:tc>
          <w:tcPr>
            <w:tcW w:w="9125"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cs="Times New Roman"/>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cs="Times New Roman"/>
                <w:kern w:val="0"/>
                <w:sz w:val="20"/>
                <w:szCs w:val="20"/>
              </w:rPr>
              <w:t>公开数量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eastAsia" w:eastAsia="宋体"/>
                <w:lang w:eastAsia="zh-CN"/>
              </w:rPr>
            </w:pPr>
            <w:r>
              <w:rPr>
                <w:rFonts w:hint="eastAsia"/>
                <w:lang w:val="en-US" w:eastAsia="zh-CN"/>
              </w:rPr>
              <w:t>1</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hint="eastAsia" w:eastAsia="宋体"/>
                <w:lang w:eastAsia="zh-CN"/>
              </w:rPr>
            </w:pPr>
            <w:r>
              <w:rPr>
                <w:rFonts w:hint="eastAsia"/>
                <w:lang w:val="en-US" w:eastAsia="zh-CN"/>
              </w:rPr>
              <w:t>1</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17</w:t>
            </w:r>
            <w:bookmarkStart w:id="0" w:name="_GoBack"/>
            <w:bookmarkEnd w:id="0"/>
          </w:p>
        </w:tc>
      </w:tr>
      <w:tr>
        <w:tblPrEx>
          <w:tblCellMar>
            <w:top w:w="0" w:type="dxa"/>
            <w:left w:w="0" w:type="dxa"/>
            <w:bottom w:w="0" w:type="dxa"/>
            <w:right w:w="0" w:type="dxa"/>
          </w:tblCellMar>
        </w:tblPrEx>
        <w:trPr>
          <w:trHeight w:val="480"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本年增/减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55</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714</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769</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81</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16</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97</w:t>
            </w:r>
          </w:p>
        </w:tc>
      </w:tr>
      <w:tr>
        <w:tblPrEx>
          <w:tblCellMar>
            <w:top w:w="0" w:type="dxa"/>
            <w:left w:w="0" w:type="dxa"/>
            <w:bottom w:w="0" w:type="dxa"/>
            <w:right w:w="0" w:type="dxa"/>
          </w:tblCellMar>
        </w:tblPrEx>
        <w:trPr>
          <w:trHeight w:val="406"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本年增/减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74"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上一年项目数量</w:t>
            </w:r>
          </w:p>
        </w:tc>
        <w:tc>
          <w:tcPr>
            <w:tcW w:w="4131"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0</w:t>
            </w:r>
          </w:p>
        </w:tc>
        <w:tc>
          <w:tcPr>
            <w:tcW w:w="4131" w:type="dxa"/>
            <w:gridSpan w:val="2"/>
            <w:tcBorders>
              <w:top w:val="nil"/>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0</w:t>
            </w:r>
          </w:p>
        </w:tc>
      </w:tr>
      <w:tr>
        <w:tblPrEx>
          <w:tblCellMar>
            <w:top w:w="0" w:type="dxa"/>
            <w:left w:w="0" w:type="dxa"/>
            <w:bottom w:w="0" w:type="dxa"/>
            <w:right w:w="0" w:type="dxa"/>
          </w:tblCellMar>
        </w:tblPrEx>
        <w:trPr>
          <w:trHeight w:val="476"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采购项目数量</w:t>
            </w:r>
          </w:p>
        </w:tc>
        <w:tc>
          <w:tcPr>
            <w:tcW w:w="4131"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0</w:t>
            </w:r>
          </w:p>
        </w:tc>
        <w:tc>
          <w:tcPr>
            <w:tcW w:w="4131" w:type="dxa"/>
            <w:gridSpan w:val="2"/>
            <w:tcBorders>
              <w:top w:val="nil"/>
              <w:left w:val="nil"/>
              <w:bottom w:val="single" w:color="auto" w:sz="8" w:space="0"/>
              <w:right w:val="single" w:color="000000" w:sz="8" w:space="0"/>
            </w:tcBorders>
            <w:noWrap/>
            <w:tcMar>
              <w:left w:w="108" w:type="dxa"/>
              <w:right w:w="108" w:type="dxa"/>
            </w:tcMar>
            <w:vAlign w:val="center"/>
          </w:tcPr>
          <w:p>
            <w:pPr>
              <w:spacing w:line="0" w:lineRule="atLeast"/>
              <w:jc w:val="center"/>
              <w:rPr>
                <w:rFonts w:hint="eastAsia" w:ascii="宋体"/>
                <w:sz w:val="24"/>
                <w:szCs w:val="24"/>
              </w:rPr>
            </w:pPr>
            <w:r>
              <w:rPr>
                <w:rFonts w:hint="eastAsia" w:ascii="宋体"/>
                <w:sz w:val="24"/>
                <w:szCs w:val="24"/>
              </w:rPr>
              <w:t>0</w:t>
            </w:r>
          </w:p>
        </w:tc>
      </w:tr>
    </w:tbl>
    <w:p>
      <w:pPr>
        <w:pStyle w:val="4"/>
        <w:shd w:val="clear" w:color="auto" w:fill="FFFFFF"/>
        <w:spacing w:before="0" w:beforeAutospacing="0" w:after="0" w:afterAutospacing="0" w:line="572" w:lineRule="exact"/>
        <w:ind w:firstLine="420"/>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left"/>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hint="eastAsia"/>
              </w:rP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left"/>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ascii="楷体" w:hAnsi="楷体" w:eastAsia="楷体" w:cs="楷体"/>
                <w:kern w:val="0"/>
                <w:sz w:val="20"/>
                <w:szCs w:val="20"/>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left"/>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r>
              <w:rPr>
                <w:rFonts w:hint="eastAsia" w:ascii="宋体"/>
                <w:sz w:val="24"/>
                <w:szCs w:val="24"/>
              </w:rPr>
              <w:t>0</w:t>
            </w:r>
          </w:p>
        </w:tc>
      </w:tr>
    </w:tbl>
    <w:p>
      <w:pPr>
        <w:pStyle w:val="4"/>
        <w:shd w:val="clear" w:color="auto" w:fill="FFFFFF"/>
        <w:spacing w:before="0" w:beforeAutospacing="0" w:after="0" w:afterAutospacing="0" w:line="572" w:lineRule="exact"/>
        <w:ind w:firstLine="420"/>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1"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58"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550"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r>
              <w:rPr>
                <w:rFonts w:hint="eastAsia" w:ascii="宋体"/>
                <w:sz w:val="24"/>
                <w:szCs w:val="24"/>
              </w:rPr>
              <w:t>0</w:t>
            </w:r>
          </w:p>
        </w:tc>
      </w:tr>
    </w:tbl>
    <w:p>
      <w:pPr>
        <w:pStyle w:val="4"/>
        <w:shd w:val="clear" w:color="auto" w:fill="FFFFFF"/>
        <w:spacing w:before="0" w:beforeAutospacing="0" w:after="0" w:afterAutospacing="0" w:line="572" w:lineRule="exact"/>
        <w:ind w:firstLine="579" w:firstLineChars="181"/>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五、存在的主要问题及改进情况</w:t>
      </w:r>
    </w:p>
    <w:p>
      <w:pPr>
        <w:spacing w:line="572"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目前，我局政府信息公开工作公开信息的时效性不够、信息的数量需要增加、宣传和引导工作还需要提升等问题。下步将从以下几方面改进：</w:t>
      </w:r>
    </w:p>
    <w:p>
      <w:pPr>
        <w:spacing w:line="572" w:lineRule="exact"/>
        <w:ind w:firstLine="640" w:firstLineChars="200"/>
        <w:jc w:val="left"/>
        <w:rPr>
          <w:rFonts w:hint="eastAsia" w:ascii="仿宋" w:hAnsi="仿宋" w:eastAsia="仿宋" w:cs="仿宋_GB2312"/>
          <w:sz w:val="32"/>
          <w:szCs w:val="32"/>
        </w:rPr>
      </w:pPr>
      <w:r>
        <w:rPr>
          <w:rFonts w:hint="eastAsia" w:ascii="楷体" w:hAnsi="楷体" w:eastAsia="楷体" w:cs="仿宋_GB2312"/>
          <w:sz w:val="32"/>
          <w:szCs w:val="32"/>
        </w:rPr>
        <w:t>1.加强沟通，进一步提高公开时效。</w:t>
      </w:r>
      <w:r>
        <w:rPr>
          <w:rFonts w:hint="eastAsia" w:ascii="仿宋" w:hAnsi="仿宋" w:eastAsia="仿宋" w:cs="仿宋_GB2312"/>
          <w:sz w:val="32"/>
          <w:szCs w:val="32"/>
        </w:rPr>
        <w:t>加强科室间的联系，完善流程，梳理信息，及时提供，确保信息生成和发布不脱节，能按照既定的工作流程有效运作，能够方便公众查询。对于在工作中存在的问题，认真分析，切实改进，为我局与广大人民群众平等、广泛、深入地沟通搭建更为宽广平台。</w:t>
      </w:r>
    </w:p>
    <w:p>
      <w:pPr>
        <w:spacing w:line="572" w:lineRule="exact"/>
        <w:ind w:firstLine="640" w:firstLineChars="200"/>
        <w:jc w:val="left"/>
        <w:rPr>
          <w:rFonts w:ascii="仿宋" w:hAnsi="仿宋" w:eastAsia="仿宋" w:cs="仿宋_GB2312"/>
          <w:sz w:val="32"/>
          <w:szCs w:val="32"/>
        </w:rPr>
      </w:pPr>
      <w:r>
        <w:rPr>
          <w:rFonts w:hint="eastAsia" w:ascii="楷体" w:hAnsi="楷体" w:eastAsia="楷体" w:cs="仿宋_GB2312"/>
          <w:sz w:val="32"/>
          <w:szCs w:val="32"/>
        </w:rPr>
        <w:t>2.解放思想，进一步扩大公开范围。</w:t>
      </w:r>
      <w:r>
        <w:rPr>
          <w:rFonts w:hint="eastAsia" w:ascii="仿宋" w:hAnsi="仿宋" w:eastAsia="仿宋" w:cs="仿宋_GB2312"/>
          <w:sz w:val="32"/>
          <w:szCs w:val="32"/>
        </w:rPr>
        <w:t>根据工作职能，对政府信息公开目录进行修改完善，保证公开信息的完整性和准确性。进一步扩大政府信息公开的内容和形式，除正式文件外，其他由我局生成的对社会公众有益的信息也要纳入信息公开的范围内予以发布，继续推进政府信息公开工作有序、高效开展，切实保障公众的知情权和监督权。</w:t>
      </w:r>
    </w:p>
    <w:p>
      <w:pPr>
        <w:spacing w:line="572" w:lineRule="exact"/>
        <w:ind w:firstLine="640" w:firstLineChars="200"/>
        <w:jc w:val="left"/>
        <w:rPr>
          <w:rFonts w:hint="eastAsia" w:ascii="仿宋" w:hAnsi="仿宋" w:eastAsia="仿宋" w:cs="仿宋_GB2312"/>
          <w:sz w:val="32"/>
          <w:szCs w:val="32"/>
        </w:rPr>
      </w:pPr>
      <w:r>
        <w:rPr>
          <w:rFonts w:hint="eastAsia" w:ascii="楷体" w:hAnsi="楷体" w:eastAsia="楷体" w:cs="仿宋_GB2312"/>
          <w:sz w:val="32"/>
          <w:szCs w:val="32"/>
        </w:rPr>
        <w:t>3.加大力度，进一步拓宽宣传渠道。</w:t>
      </w:r>
      <w:r>
        <w:rPr>
          <w:rFonts w:hint="eastAsia" w:ascii="仿宋" w:hAnsi="仿宋" w:eastAsia="仿宋" w:cs="仿宋_GB2312"/>
          <w:sz w:val="32"/>
          <w:szCs w:val="32"/>
        </w:rPr>
        <w:t>加大对信息公开工作的宣传力度，使社会公众对这项工作有进一步的了解和更深的认识，引导公众正确使用信息公开这种新兴的政府服务职能，为自己的生活和工作提供便利；鼓励广大群众及全台干部职工积极参与政府公开信息发布的监督，更好地服务于社会和群众。</w:t>
      </w:r>
    </w:p>
    <w:p>
      <w:p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六、其他需要报告的事项</w:t>
      </w:r>
    </w:p>
    <w:p>
      <w:pPr>
        <w:spacing w:line="572"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（一）2020年度洞头区政务公开工作要点落实情况。</w:t>
      </w:r>
    </w:p>
    <w:p>
      <w:pPr>
        <w:spacing w:line="572"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按照《2020年度洞头区政务公开工作要点》的要求，我局能认真梳理，建章立制，分析职责，落实到人，较好地完成各项工作任务。</w:t>
      </w:r>
    </w:p>
    <w:p>
      <w:pPr>
        <w:spacing w:line="572"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以上为2020年度政府信息公开工作报告。报告的电子版可在洞头区政府门户网站上下载。如对报告内容有疑问，请与区农业农村局单位联系（电话：0577-59386707）。</w:t>
      </w:r>
    </w:p>
    <w:sectPr>
      <w:headerReference r:id="rId3" w:type="default"/>
      <w:footerReference r:id="rId4" w:type="default"/>
      <w:footerReference r:id="rId5" w:type="even"/>
      <w:pgSz w:w="11907" w:h="16840"/>
      <w:pgMar w:top="2098" w:right="1474" w:bottom="1984" w:left="1588" w:header="851" w:footer="1361"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 1027" o:spid="_x0000_s1025" o:spt="202" type="#_x0000_t202" style="position:absolute;left:0pt;margin-left:359.55pt;margin-top:-7.2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ind w:right="360" w:firstLine="360"/>
                </w:pP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1</w:t>
                </w:r>
                <w:r>
                  <w:rPr>
                    <w:rFonts w:ascii="宋体" w:hAnsi="宋体"/>
                    <w:sz w:val="28"/>
                  </w:rPr>
                  <w:fldChar w:fldCharType="end"/>
                </w:r>
                <w:r>
                  <w:rPr>
                    <w:rStyle w:val="7"/>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80" w:firstLineChars="100"/>
    </w:pPr>
    <w:r>
      <w:pict>
        <v:shape id="文本框 1028" o:spid="_x0000_s1026" o:spt="202" type="#_x0000_t202" style="position:absolute;left:0pt;margin-left:30.05pt;margin-top:-0.8pt;height:144pt;width:144p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en-US" w:eastAsia="zh-CN"/>
                  </w:rPr>
                  <w:t>10</w:t>
                </w:r>
                <w:r>
                  <w:rPr>
                    <w:rFonts w:hint="eastAsia" w:ascii="宋体" w:hAnsi="宋体" w:cs="宋体"/>
                    <w:sz w:val="28"/>
                    <w:szCs w:val="28"/>
                  </w:rPr>
                  <w:fldChar w:fldCharType="end"/>
                </w:r>
              </w:p>
            </w:txbxContent>
          </v:textbox>
        </v:shape>
      </w:pict>
    </w:r>
    <w:r>
      <w:rPr>
        <w:rStyle w:val="7"/>
        <w:rFonts w:ascii="宋体" w:hAnsi="宋体"/>
        <w:sz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50515"/>
    <w:rsid w:val="001434CF"/>
    <w:rsid w:val="001C47B0"/>
    <w:rsid w:val="001E73A2"/>
    <w:rsid w:val="00292C8F"/>
    <w:rsid w:val="00353061"/>
    <w:rsid w:val="00415486"/>
    <w:rsid w:val="0052798A"/>
    <w:rsid w:val="005C5021"/>
    <w:rsid w:val="00664934"/>
    <w:rsid w:val="007A11FF"/>
    <w:rsid w:val="00906AE1"/>
    <w:rsid w:val="00A50515"/>
    <w:rsid w:val="00C047BD"/>
    <w:rsid w:val="00C25656"/>
    <w:rsid w:val="00C96D38"/>
    <w:rsid w:val="00D56186"/>
    <w:rsid w:val="00D91311"/>
    <w:rsid w:val="00E735C9"/>
    <w:rsid w:val="244A04E3"/>
    <w:rsid w:val="7FAB9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page number"/>
    <w:basedOn w:val="6"/>
    <w:qFormat/>
    <w:uiPriority w:val="0"/>
  </w:style>
  <w:style w:type="character" w:customStyle="1" w:styleId="8">
    <w:name w:val="页脚 Char"/>
    <w:basedOn w:val="6"/>
    <w:link w:val="2"/>
    <w:qFormat/>
    <w:uiPriority w:val="0"/>
    <w:rPr>
      <w:rFonts w:ascii="Calibri" w:hAnsi="Calibri" w:eastAsia="宋体" w:cs="黑体"/>
      <w:sz w:val="18"/>
      <w:szCs w:val="18"/>
    </w:rPr>
  </w:style>
  <w:style w:type="character" w:customStyle="1" w:styleId="9">
    <w:name w:val="页眉 Char"/>
    <w:basedOn w:val="6"/>
    <w:link w:val="3"/>
    <w:qFormat/>
    <w:uiPriority w:val="0"/>
    <w:rPr>
      <w:rFonts w:ascii="Calibri" w:hAnsi="Calibri" w:eastAsia="宋体" w:cs="黑体"/>
      <w:sz w:val="18"/>
      <w:szCs w:val="18"/>
    </w:rPr>
  </w:style>
  <w:style w:type="paragraph" w:customStyle="1" w:styleId="10">
    <w:name w:val="Heading 1"/>
    <w:basedOn w:val="1"/>
    <w:qFormat/>
    <w:uiPriority w:val="1"/>
    <w:pPr>
      <w:autoSpaceDE w:val="0"/>
      <w:autoSpaceDN w:val="0"/>
      <w:adjustRightInd w:val="0"/>
      <w:ind w:left="948"/>
      <w:jc w:val="left"/>
      <w:outlineLvl w:val="0"/>
    </w:pPr>
    <w:rPr>
      <w:rFonts w:ascii="Microsoft JhengHei" w:eastAsia="Microsoft JhengHei" w:cs="Microsoft JhengHei"/>
      <w:kern w:val="0"/>
      <w:sz w:val="39"/>
      <w:szCs w:val="3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397</Words>
  <Characters>2266</Characters>
  <Lines>18</Lines>
  <Paragraphs>5</Paragraphs>
  <TotalTime>314</TotalTime>
  <ScaleCrop>false</ScaleCrop>
  <LinksUpToDate>false</LinksUpToDate>
  <CharactersWithSpaces>2658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2021-01-06T09:40:00Z</dcterms:created>
  <dc:creator>刘宗宗</dc:creator>
  <cp:lastModifiedBy>greatwall</cp:lastModifiedBy>
  <dcterms:modified xsi:type="dcterms:W3CDTF">2024-01-08T10:56:10Z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