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48"/>
          <w:szCs w:val="48"/>
        </w:rPr>
      </w:pPr>
    </w:p>
    <w:p>
      <w:pPr>
        <w:spacing w:line="360" w:lineRule="auto"/>
        <w:jc w:val="center"/>
        <w:rPr>
          <w:rFonts w:ascii="宋体" w:hAnsi="宋体" w:eastAsia="宋体" w:cs="宋体"/>
          <w:b/>
          <w:bCs/>
          <w:sz w:val="48"/>
          <w:szCs w:val="48"/>
        </w:rPr>
      </w:pPr>
    </w:p>
    <w:p>
      <w:pPr>
        <w:spacing w:line="360" w:lineRule="auto"/>
        <w:jc w:val="center"/>
        <w:rPr>
          <w:rFonts w:ascii="宋体" w:hAnsi="宋体" w:eastAsia="宋体" w:cs="宋体"/>
          <w:b/>
          <w:bCs/>
          <w:sz w:val="48"/>
          <w:szCs w:val="48"/>
        </w:rPr>
      </w:pPr>
      <w:r>
        <w:rPr>
          <w:rFonts w:hint="eastAsia" w:ascii="宋体" w:hAnsi="宋体" w:eastAsia="宋体" w:cs="宋体"/>
          <w:b/>
          <w:bCs/>
          <w:sz w:val="48"/>
          <w:szCs w:val="48"/>
        </w:rPr>
        <w:t>温州市洞头区工业、信息化和科技发展</w:t>
      </w:r>
    </w:p>
    <w:p>
      <w:pPr>
        <w:spacing w:line="360" w:lineRule="auto"/>
        <w:jc w:val="center"/>
        <w:rPr>
          <w:rFonts w:ascii="宋体" w:hAnsi="宋体" w:eastAsia="宋体" w:cs="宋体"/>
          <w:b/>
          <w:bCs/>
          <w:sz w:val="48"/>
          <w:szCs w:val="48"/>
        </w:rPr>
      </w:pPr>
      <w:r>
        <w:rPr>
          <w:rFonts w:hint="eastAsia" w:ascii="宋体" w:hAnsi="宋体" w:eastAsia="宋体" w:cs="宋体"/>
          <w:b/>
          <w:bCs/>
          <w:sz w:val="48"/>
          <w:szCs w:val="48"/>
        </w:rPr>
        <w:t>“十四五”规划</w:t>
      </w:r>
    </w:p>
    <w:p>
      <w:pPr>
        <w:spacing w:line="360" w:lineRule="auto"/>
        <w:jc w:val="center"/>
        <w:rPr>
          <w:rFonts w:ascii="宋体" w:hAnsi="宋体" w:eastAsia="宋体" w:cs="宋体"/>
          <w:b/>
          <w:bCs/>
          <w:sz w:val="48"/>
          <w:szCs w:val="48"/>
        </w:rPr>
      </w:pPr>
    </w:p>
    <w:p>
      <w:pPr>
        <w:pStyle w:val="2"/>
      </w:pPr>
    </w:p>
    <w:p>
      <w:pPr>
        <w:spacing w:line="360" w:lineRule="auto"/>
        <w:jc w:val="center"/>
        <w:rPr>
          <w:rFonts w:ascii="宋体" w:hAnsi="宋体" w:eastAsia="宋体" w:cs="宋体"/>
          <w:b/>
          <w:bCs/>
          <w:sz w:val="48"/>
          <w:szCs w:val="48"/>
        </w:rPr>
      </w:pPr>
    </w:p>
    <w:p>
      <w:pPr>
        <w:spacing w:line="360" w:lineRule="auto"/>
        <w:jc w:val="center"/>
        <w:rPr>
          <w:rFonts w:ascii="宋体" w:hAnsi="宋体" w:eastAsia="宋体" w:cs="宋体"/>
          <w:b/>
          <w:bCs/>
          <w:sz w:val="48"/>
          <w:szCs w:val="48"/>
        </w:rPr>
      </w:pPr>
    </w:p>
    <w:p>
      <w:pPr>
        <w:spacing w:line="360" w:lineRule="auto"/>
        <w:jc w:val="center"/>
        <w:rPr>
          <w:rFonts w:ascii="宋体" w:hAnsi="宋体" w:eastAsia="宋体" w:cs="宋体"/>
          <w:b/>
          <w:bCs/>
          <w:sz w:val="48"/>
          <w:szCs w:val="4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9" w:type="dxa"/>
            <w:tcBorders>
              <w:top w:val="nil"/>
              <w:left w:val="nil"/>
              <w:bottom w:val="nil"/>
              <w:right w:val="nil"/>
            </w:tcBorders>
          </w:tcPr>
          <w:p>
            <w:pPr>
              <w:topLinePunct/>
              <w:snapToGrid w:val="0"/>
              <w:jc w:val="distribute"/>
              <w:rPr>
                <w:sz w:val="40"/>
              </w:rPr>
            </w:pPr>
            <w:r>
              <w:rPr>
                <w:rFonts w:hint="eastAsia" w:eastAsia="楷体"/>
                <w:sz w:val="36"/>
              </w:rPr>
              <w:t>温州市洞头区经济商务和信息化局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9" w:type="dxa"/>
            <w:tcBorders>
              <w:top w:val="nil"/>
              <w:left w:val="nil"/>
              <w:bottom w:val="nil"/>
              <w:right w:val="nil"/>
            </w:tcBorders>
          </w:tcPr>
          <w:p>
            <w:pPr>
              <w:topLinePunct/>
              <w:snapToGrid w:val="0"/>
              <w:jc w:val="distribute"/>
              <w:rPr>
                <w:sz w:val="40"/>
              </w:rPr>
            </w:pPr>
            <w:r>
              <w:rPr>
                <w:rFonts w:hint="eastAsia" w:eastAsia="楷体"/>
                <w:sz w:val="36"/>
              </w:rPr>
              <w:t>温州设计集团有限公司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9" w:type="dxa"/>
            <w:tcBorders>
              <w:top w:val="nil"/>
              <w:left w:val="nil"/>
              <w:bottom w:val="nil"/>
              <w:right w:val="nil"/>
            </w:tcBorders>
          </w:tcPr>
          <w:p>
            <w:pPr>
              <w:topLinePunct/>
              <w:snapToGrid w:val="0"/>
              <w:jc w:val="distribute"/>
              <w:rPr>
                <w:sz w:val="40"/>
              </w:rPr>
            </w:pPr>
            <w:r>
              <w:rPr>
                <w:rFonts w:hint="eastAsia" w:eastAsia="楷体"/>
                <w:sz w:val="36"/>
              </w:rPr>
              <w:t>二〇二一年六月</w:t>
            </w:r>
          </w:p>
        </w:tc>
      </w:tr>
    </w:tbl>
    <w:p/>
    <w:p>
      <w:pPr>
        <w:jc w:val="center"/>
        <w:rPr>
          <w:color w:val="0070C0"/>
          <w:sz w:val="44"/>
        </w:rPr>
        <w:sectPr>
          <w:pgSz w:w="11906" w:h="16838"/>
          <w:pgMar w:top="2098" w:right="1474" w:bottom="1984" w:left="1587" w:header="851" w:footer="1417" w:gutter="0"/>
          <w:pgNumType w:fmt="numberInDash"/>
          <w:cols w:space="0" w:num="1"/>
          <w:docGrid w:type="linesAndChars" w:linePitch="574" w:charSpace="-842"/>
        </w:sectPr>
      </w:pPr>
    </w:p>
    <w:sdt>
      <w:sdtPr>
        <w:rPr>
          <w:rFonts w:hint="eastAsia"/>
          <w:sz w:val="21"/>
          <w:szCs w:val="24"/>
        </w:rPr>
        <w:id w:val="147457102"/>
        <w15:color w:val="DBDBDB"/>
      </w:sdtPr>
      <w:sdtEndPr>
        <w:rPr>
          <w:rFonts w:hint="eastAsia" w:ascii="宋体" w:hAnsi="宋体" w:eastAsia="宋体" w:cstheme="minorBidi"/>
          <w:sz w:val="21"/>
          <w:szCs w:val="24"/>
        </w:rPr>
      </w:sdtEndPr>
      <w:sdtContent>
        <w:p>
          <w:pPr>
            <w:pStyle w:val="15"/>
            <w:tabs>
              <w:tab w:val="right" w:leader="dot" w:pos="8845"/>
            </w:tabs>
          </w:pPr>
        </w:p>
        <w:sdt>
          <w:sdtPr>
            <w:rPr>
              <w:rFonts w:hint="eastAsia"/>
            </w:rPr>
            <w:id w:val="147453556"/>
            <w15:color w:val="DBDBDB"/>
            <w:docPartObj>
              <w:docPartGallery w:val="Table of Contents"/>
              <w:docPartUnique/>
            </w:docPartObj>
          </w:sdtPr>
          <w:sdtEndPr>
            <w:rPr>
              <w:rFonts w:hint="eastAsia"/>
            </w:rPr>
          </w:sdtEndPr>
          <w:sdtContent>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目 录</w:t>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TOC \o "1-2" \h \u </w:instrText>
              </w:r>
              <w:r>
                <w:rPr>
                  <w:rFonts w:hint="eastAsia" w:ascii="仿宋_GB2312" w:hAnsi="仿宋_GB2312" w:eastAsia="仿宋_GB2312" w:cs="仿宋_GB2312"/>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_Toc24596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val="en-US"/>
                </w:rPr>
                <w:t>前 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_Toc24596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_Toc21929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val="en-US"/>
                </w:rPr>
                <w:t>一、发展基础与宏观趋势</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_Toc21929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_Toc27474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（一）发展基础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_Toc27474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_Toc10730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（二）存在问题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_Toc10730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_Toc13716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（三）发展环境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_Toc13716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_Toc29315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val="en-US"/>
                </w:rPr>
                <w:t>二、总体思路及发展目标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_Toc29315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_Toc3424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（一）指导思想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_Toc3424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_Toc13187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（二）基本原则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- 10 -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_Toc23002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（三）发展目标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_Toc23002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_Toc10667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val="en-US"/>
                </w:rPr>
                <w:t>三、空间布局和平台发展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_Toc10667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_Toc14775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（一）双区集群——规划布局产业发展集聚区</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_Toc14775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_Toc32319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（二）一港联动——构建港区立体化开放通道</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_Toc32319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- 18 -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_Toc31440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（三）多点发展——协同发展多样化重点平台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_Toc31440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_Toc28174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val="en-US"/>
                </w:rPr>
                <w:t>四、推动工业与科技、信息化协同发展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_Toc28174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_Toc17208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（一）传统产业转型升级</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_Toc17208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_Toc14846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（二）海洋新兴产业培育</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_Toc14846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_Toc10766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（三）科技、信息化创新体系协同发展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_Toc10766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_Toc30499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val="en-US"/>
                </w:rPr>
                <w:t>五、主要任务及发展路径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_Toc30499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_Toc10439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（一）产业升级工程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_Toc10439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_Toc14115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（二）创新驱动工程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_Toc14115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_Toc6246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（三）数字攻关工程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_Toc6246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_Toc11524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（四）主体培育工程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_Toc11524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- 37 -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_Toc28071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（五）平台构建工程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_Toc28071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_Toc31030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（六）绿色制造工程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_Toc31030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- 40 -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_Toc21332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（七）开放合作工程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_Toc21332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_Toc24334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lang w:val="en-US"/>
                </w:rPr>
                <w:t>六、保障措施</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_Toc24334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_Toc31826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（一）加强政策扶持，凝聚发展合力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_Toc31826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_Toc30489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（二）深化人才培育，牢固发展内力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_Toc30489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_Toc4922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（三）提升内外互通，协同发展动力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_Toc4922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_Toc19685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（四）挖掘土地资源，增强要素支撑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_Toc19685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_Toc7020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（五）引导金融配套，强化服务保障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_Toc7020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6"/>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_Toc3123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（六）优化发展环境，助力产业发展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_Toc3123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_Toc30715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附件1：名词注释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_Toc30715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_Toc16568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xml:space="preserve">附件2：洞头区工业、科技和信息化“十四五”重大项目表    </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_Toc16568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- 47 -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_Toc12021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附件3：温州瓯江口产业集聚区“十四五”期间投资项目表</w:t>
              </w:r>
              <w:r>
                <w:rPr>
                  <w:rFonts w:hint="eastAsia" w:ascii="仿宋_GB2312" w:hAnsi="仿宋_GB2312" w:eastAsia="仿宋_GB2312" w:cs="仿宋_GB2312"/>
                </w:rPr>
                <w:fldChar w:fldCharType="end"/>
              </w:r>
            </w:p>
            <w:p>
              <w:pPr>
                <w:pStyle w:val="15"/>
                <w:tabs>
                  <w:tab w:val="right" w:leader="dot" w:pos="8845"/>
                </w:tabs>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_Toc1231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- 52 -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5"/>
                <w:tabs>
                  <w:tab w:val="right" w:leader="dot" w:pos="8845"/>
                </w:tabs>
              </w:pPr>
              <w:r>
                <w:rPr>
                  <w:rFonts w:hint="eastAsia" w:ascii="仿宋_GB2312" w:hAnsi="仿宋_GB2312" w:eastAsia="仿宋_GB2312" w:cs="仿宋_GB2312"/>
                </w:rPr>
                <w:fldChar w:fldCharType="end"/>
              </w:r>
            </w:p>
          </w:sdtContent>
        </w:sdt>
        <w:p>
          <w:pPr>
            <w:pStyle w:val="15"/>
            <w:tabs>
              <w:tab w:val="right" w:leader="dot" w:pos="8732"/>
            </w:tabs>
            <w:spacing w:line="400" w:lineRule="exact"/>
            <w:outlineLvl w:val="0"/>
          </w:pPr>
        </w:p>
      </w:sdtContent>
    </w:sdt>
    <w:p>
      <w:pPr>
        <w:spacing w:line="560" w:lineRule="exact"/>
        <w:ind w:firstLine="632" w:firstLineChars="200"/>
        <w:rPr>
          <w:rFonts w:ascii="Times New Roman" w:hAnsi="Times New Roman" w:eastAsia="黑体"/>
        </w:rPr>
        <w:sectPr>
          <w:footerReference r:id="rId3" w:type="default"/>
          <w:footerReference r:id="rId4" w:type="even"/>
          <w:pgSz w:w="11906" w:h="16838"/>
          <w:pgMar w:top="2098" w:right="1474" w:bottom="1984" w:left="1587" w:header="851" w:footer="1417" w:gutter="0"/>
          <w:pgNumType w:fmt="numberInDash" w:start="1"/>
          <w:cols w:space="0" w:num="1"/>
          <w:docGrid w:type="linesAndChars" w:linePitch="574" w:charSpace="-842"/>
        </w:sectPr>
      </w:pPr>
    </w:p>
    <w:p>
      <w:pPr>
        <w:pStyle w:val="5"/>
        <w:spacing w:line="560" w:lineRule="exact"/>
        <w:rPr>
          <w:rFonts w:ascii="黑体" w:hAnsi="黑体" w:eastAsia="黑体" w:cstheme="minorBidi"/>
          <w:b w:val="0"/>
          <w:sz w:val="32"/>
          <w:lang w:val="en-US"/>
        </w:rPr>
      </w:pPr>
      <w:bookmarkStart w:id="0" w:name="_Toc19323"/>
      <w:bookmarkStart w:id="1" w:name="_Toc24596"/>
      <w:bookmarkStart w:id="2" w:name="_Toc471233480"/>
      <w:bookmarkStart w:id="3" w:name="_Toc22818"/>
      <w:bookmarkStart w:id="4" w:name="_Toc28481"/>
      <w:bookmarkStart w:id="5" w:name="_Toc6762"/>
      <w:bookmarkStart w:id="6" w:name="_Toc1244669152"/>
      <w:r>
        <w:rPr>
          <w:rFonts w:hint="eastAsia" w:ascii="黑体" w:hAnsi="黑体" w:eastAsia="黑体" w:cstheme="minorBidi"/>
          <w:b w:val="0"/>
          <w:sz w:val="32"/>
          <w:lang w:val="en-US"/>
        </w:rPr>
        <w:t>前 言</w:t>
      </w:r>
      <w:bookmarkEnd w:id="0"/>
      <w:bookmarkEnd w:id="1"/>
      <w:bookmarkEnd w:id="2"/>
      <w:bookmarkEnd w:id="3"/>
    </w:p>
    <w:p>
      <w:pPr>
        <w:spacing w:line="560" w:lineRule="exact"/>
        <w:ind w:firstLine="632" w:firstLineChars="200"/>
      </w:pPr>
      <w:r>
        <w:rPr>
          <w:rFonts w:hint="eastAsia"/>
        </w:rPr>
        <w:t>“十四五”是我国在全面建成小康社会后迎来的第一个“五年”，是我国由全面建</w:t>
      </w:r>
      <w:r>
        <w:rPr>
          <w:rFonts w:hint="eastAsia"/>
          <w:lang w:eastAsia="zh-CN"/>
        </w:rPr>
        <w:t>成</w:t>
      </w:r>
      <w:r>
        <w:rPr>
          <w:rFonts w:hint="eastAsia"/>
        </w:rPr>
        <w:t>小康社会向基本实现社会主义现代化迈进的关键时期，是“两个一百年”奋斗目标的历史交汇期，也是推进瓯洞一体化、全面融入温州“五城五高地”建设过程中贡献洞头力量的新时期，更是</w:t>
      </w:r>
      <w:r>
        <w:rPr>
          <w:rFonts w:hint="eastAsia"/>
          <w:b/>
        </w:rPr>
        <w:t>深入落实习近平总书记建设海上花园重要指示，促进洞头跨越发展的关键期。</w:t>
      </w:r>
    </w:p>
    <w:p>
      <w:pPr>
        <w:spacing w:line="560" w:lineRule="exact"/>
        <w:ind w:firstLine="632" w:firstLineChars="200"/>
        <w:rPr>
          <w:rFonts w:hAnsi="Times New Roman"/>
        </w:rPr>
        <w:sectPr>
          <w:footerReference r:id="rId5" w:type="default"/>
          <w:footerReference r:id="rId6" w:type="even"/>
          <w:footnotePr>
            <w:numFmt w:val="decimalEnclosedCircleChinese"/>
            <w:numRestart w:val="eachPage"/>
          </w:footnotePr>
          <w:pgSz w:w="11906" w:h="16838"/>
          <w:pgMar w:top="2098" w:right="1474" w:bottom="1984" w:left="1587" w:header="851" w:footer="992" w:gutter="0"/>
          <w:pgNumType w:fmt="numberInDash" w:start="1"/>
          <w:cols w:space="0" w:num="1"/>
          <w:docGrid w:type="linesAndChars" w:linePitch="579" w:charSpace="-842"/>
        </w:sectPr>
      </w:pPr>
      <w:r>
        <w:rPr>
          <w:rFonts w:hint="eastAsia"/>
        </w:rPr>
        <w:t>近年来，随着温州国家海洋经济发展示范区、浙江海岛大花园的主要海岛花园以及全国“两山”理论实践创新基地、全域旅游示范区等重大建设规划陆续落户，洞头区迎来都市崛起、海洋开发、两岸融合、</w:t>
      </w:r>
      <w:bookmarkStart w:id="256" w:name="_GoBack"/>
      <w:bookmarkEnd w:id="256"/>
      <w:r>
        <w:rPr>
          <w:rFonts w:hint="eastAsia"/>
        </w:rPr>
        <w:t>乡村振兴的多重机遇，全区大力实施“海洋强区”战略，深耕蓝色海湾、聚焦海洋经济、建设海上花园。洞头区作为温州城市东扩的主阵地，要准确把握洞头区建设海上花园的新内涵新要求，进一步找准定位、认准目标、形成共识。为强化创新引领发展，更好推进新型工业化和信息化进程，进一步为全区经济社会发展提供有力支撑，特编制《温州市洞头区工业、信息化和科技发展“十四五”规划》（以下简称《规划》），作为指导今后五年（2021-2025年）洞头工业发展、信息化工作和科技发展的纲领性文件。</w:t>
      </w:r>
    </w:p>
    <w:p>
      <w:pPr>
        <w:pStyle w:val="5"/>
        <w:spacing w:line="560" w:lineRule="exact"/>
        <w:ind w:firstLine="632" w:firstLineChars="200"/>
        <w:jc w:val="both"/>
        <w:rPr>
          <w:rFonts w:ascii="黑体" w:hAnsi="黑体" w:eastAsia="黑体" w:cstheme="minorBidi"/>
          <w:b w:val="0"/>
          <w:sz w:val="32"/>
          <w:lang w:val="en-US"/>
        </w:rPr>
      </w:pPr>
      <w:bookmarkStart w:id="7" w:name="_Toc21929"/>
      <w:bookmarkStart w:id="8" w:name="_Toc26789"/>
      <w:bookmarkStart w:id="9" w:name="_Toc7489"/>
      <w:r>
        <w:rPr>
          <w:rFonts w:hint="eastAsia" w:ascii="黑体" w:hAnsi="黑体" w:eastAsia="黑体" w:cstheme="minorBidi"/>
          <w:b w:val="0"/>
          <w:sz w:val="32"/>
          <w:lang w:val="en-US"/>
        </w:rPr>
        <w:t>一、发展基础与宏观趋势</w:t>
      </w:r>
      <w:bookmarkEnd w:id="4"/>
      <w:bookmarkEnd w:id="5"/>
      <w:bookmarkEnd w:id="6"/>
      <w:bookmarkEnd w:id="7"/>
      <w:bookmarkEnd w:id="8"/>
      <w:bookmarkEnd w:id="9"/>
      <w:bookmarkStart w:id="10" w:name="_Toc516232237"/>
    </w:p>
    <w:p>
      <w:pPr>
        <w:pStyle w:val="6"/>
        <w:spacing w:before="0" w:after="0" w:line="560" w:lineRule="exact"/>
        <w:ind w:firstLine="632" w:firstLineChars="200"/>
        <w:rPr>
          <w:rFonts w:ascii="楷体" w:hAnsi="楷体" w:eastAsia="楷体" w:cs="楷体"/>
          <w:b w:val="0"/>
          <w:bCs w:val="0"/>
        </w:rPr>
      </w:pPr>
      <w:bookmarkStart w:id="11" w:name="_Toc2113"/>
      <w:bookmarkStart w:id="12" w:name="_Toc26063"/>
      <w:bookmarkStart w:id="13" w:name="_Toc21844"/>
      <w:bookmarkStart w:id="14" w:name="_Toc17435"/>
      <w:bookmarkStart w:id="15" w:name="_Toc27474"/>
      <w:r>
        <w:rPr>
          <w:rFonts w:hint="eastAsia" w:ascii="楷体" w:hAnsi="楷体" w:eastAsia="楷体" w:cs="楷体"/>
          <w:b w:val="0"/>
          <w:bCs w:val="0"/>
        </w:rPr>
        <w:t>（一）发展</w:t>
      </w:r>
      <w:bookmarkEnd w:id="10"/>
      <w:bookmarkEnd w:id="11"/>
      <w:bookmarkEnd w:id="12"/>
      <w:r>
        <w:rPr>
          <w:rFonts w:hint="eastAsia" w:ascii="楷体" w:hAnsi="楷体" w:eastAsia="楷体" w:cs="楷体"/>
          <w:b w:val="0"/>
          <w:bCs w:val="0"/>
        </w:rPr>
        <w:t>基础</w:t>
      </w:r>
      <w:bookmarkEnd w:id="13"/>
      <w:bookmarkEnd w:id="14"/>
      <w:bookmarkEnd w:id="15"/>
    </w:p>
    <w:p>
      <w:pPr>
        <w:pStyle w:val="3"/>
        <w:spacing w:line="560" w:lineRule="exact"/>
        <w:ind w:firstLine="632" w:firstLineChars="200"/>
      </w:pPr>
      <w:r>
        <w:rPr>
          <w:rFonts w:hint="eastAsia" w:ascii="仿宋_GB2312" w:hAnsi="仿宋_GB2312"/>
          <w:bCs w:val="0"/>
          <w:sz w:val="32"/>
          <w:lang w:val="zh-CN"/>
        </w:rPr>
        <w:t>“十三五”时期，全区上下深入贯彻习近平总书记系列重要讲话精神，坚定落实“四个全面”战略布局和省委“八八战略”、市委“五化战略”部署要求</w:t>
      </w:r>
      <w:r>
        <w:rPr>
          <w:rFonts w:hint="eastAsia" w:ascii="仿宋_GB2312" w:hAnsi="仿宋_GB2312"/>
          <w:bCs w:val="0"/>
          <w:sz w:val="32"/>
        </w:rPr>
        <w:t>，</w:t>
      </w:r>
      <w:r>
        <w:rPr>
          <w:rFonts w:hint="eastAsia" w:ascii="仿宋_GB2312" w:hAnsi="仿宋_GB2312"/>
          <w:bCs w:val="0"/>
          <w:sz w:val="32"/>
          <w:lang w:val="zh-CN"/>
        </w:rPr>
        <w:t>在区委、区政府的正确领导下，围绕工业</w:t>
      </w:r>
      <w:r>
        <w:rPr>
          <w:rFonts w:hint="eastAsia" w:ascii="仿宋_GB2312" w:hAnsi="仿宋_GB2312"/>
          <w:bCs w:val="0"/>
          <w:sz w:val="32"/>
        </w:rPr>
        <w:t>不断</w:t>
      </w:r>
      <w:r>
        <w:rPr>
          <w:rFonts w:hint="eastAsia" w:ascii="仿宋_GB2312" w:hAnsi="仿宋_GB2312"/>
          <w:bCs w:val="0"/>
          <w:sz w:val="32"/>
          <w:lang w:val="zh-CN"/>
        </w:rPr>
        <w:t>转型升级，</w:t>
      </w:r>
      <w:r>
        <w:rPr>
          <w:rFonts w:hint="eastAsia" w:ascii="仿宋_GB2312" w:hAnsi="仿宋_GB2312"/>
          <w:bCs w:val="0"/>
          <w:sz w:val="32"/>
        </w:rPr>
        <w:t>我区</w:t>
      </w:r>
      <w:r>
        <w:rPr>
          <w:rFonts w:hint="eastAsia" w:ascii="仿宋_GB2312" w:hAnsi="仿宋_GB2312"/>
          <w:bCs w:val="0"/>
          <w:sz w:val="32"/>
          <w:lang w:val="zh-CN"/>
        </w:rPr>
        <w:t>工业和信息化发展</w:t>
      </w:r>
      <w:r>
        <w:rPr>
          <w:rFonts w:hint="eastAsia" w:ascii="仿宋_GB2312" w:hAnsi="仿宋_GB2312"/>
          <w:bCs w:val="0"/>
          <w:sz w:val="32"/>
        </w:rPr>
        <w:t>取得了</w:t>
      </w:r>
      <w:r>
        <w:rPr>
          <w:rFonts w:hint="eastAsia" w:ascii="仿宋_GB2312" w:hAnsi="仿宋_GB2312"/>
          <w:bCs w:val="0"/>
          <w:sz w:val="32"/>
          <w:lang w:val="zh-CN"/>
        </w:rPr>
        <w:t>一定的成绩，</w:t>
      </w:r>
      <w:r>
        <w:rPr>
          <w:rFonts w:hint="eastAsia" w:ascii="仿宋_GB2312" w:hAnsi="仿宋_GB2312"/>
          <w:bCs w:val="0"/>
          <w:sz w:val="32"/>
        </w:rPr>
        <w:t>并为“十四五”发展奠定基础</w:t>
      </w:r>
      <w:r>
        <w:rPr>
          <w:rFonts w:hint="eastAsia" w:ascii="仿宋_GB2312" w:hAnsi="仿宋_GB2312"/>
          <w:bCs w:val="0"/>
          <w:sz w:val="32"/>
          <w:lang w:val="zh-CN"/>
        </w:rPr>
        <w:t>。</w:t>
      </w:r>
    </w:p>
    <w:p>
      <w:pPr>
        <w:pStyle w:val="3"/>
        <w:spacing w:line="560" w:lineRule="exact"/>
        <w:ind w:firstLine="632" w:firstLineChars="200"/>
        <w:rPr>
          <w:rFonts w:ascii="仿宋_GB2312" w:hAnsi="仿宋_GB2312"/>
          <w:bCs w:val="0"/>
          <w:sz w:val="32"/>
        </w:rPr>
      </w:pPr>
      <w:r>
        <w:rPr>
          <w:rFonts w:hint="eastAsia" w:ascii="仿宋_GB2312" w:hAnsi="仿宋_GB2312"/>
          <w:b/>
          <w:sz w:val="32"/>
        </w:rPr>
        <w:t>1.工业规模稳步发展。</w:t>
      </w:r>
      <w:r>
        <w:rPr>
          <w:rFonts w:hint="eastAsia" w:ascii="仿宋_GB2312" w:hAnsi="仿宋_GB2312"/>
          <w:bCs w:val="0"/>
          <w:sz w:val="32"/>
        </w:rPr>
        <w:t>至2020年，全区实现规上工业总产值52.8亿元，规上工业增加值8.99亿元，</w:t>
      </w:r>
      <w:r>
        <w:rPr>
          <w:rFonts w:hint="eastAsia" w:ascii="仿宋_GB2312" w:hAnsi="仿宋_GB2312"/>
          <w:bCs w:val="0"/>
          <w:sz w:val="32"/>
          <w:lang w:val="zh-CN"/>
        </w:rPr>
        <w:t>“十三五”</w:t>
      </w:r>
      <w:r>
        <w:rPr>
          <w:rFonts w:hint="eastAsia" w:ascii="仿宋_GB2312" w:hAnsi="仿宋_GB2312"/>
          <w:bCs w:val="0"/>
          <w:sz w:val="32"/>
        </w:rPr>
        <w:t>规上工业总产值年均增速3%。工业投资累计完成33亿元，中石油、中石化多个临港产业项目落户，浙能、华港两大LNG“双百亿”工程相继开工落地。</w:t>
      </w:r>
    </w:p>
    <w:p>
      <w:pPr>
        <w:pStyle w:val="8"/>
        <w:keepNext/>
        <w:jc w:val="center"/>
      </w:pPr>
      <w:r>
        <w:rPr>
          <w:rFonts w:hint="eastAsia"/>
        </w:rPr>
        <w:t>“十三五”期间规上工业总产值及增速</w:t>
      </w:r>
    </w:p>
    <w:p>
      <w:pPr>
        <w:pStyle w:val="4"/>
        <w:ind w:firstLine="0"/>
      </w:pPr>
      <w:r>
        <w:drawing>
          <wp:anchor distT="0" distB="0" distL="114300" distR="114300" simplePos="0" relativeHeight="251661312" behindDoc="1" locked="0" layoutInCell="1" allowOverlap="1">
            <wp:simplePos x="0" y="0"/>
            <wp:positionH relativeFrom="column">
              <wp:posOffset>405130</wp:posOffset>
            </wp:positionH>
            <wp:positionV relativeFrom="paragraph">
              <wp:posOffset>203835</wp:posOffset>
            </wp:positionV>
            <wp:extent cx="4941570" cy="3261360"/>
            <wp:effectExtent l="0" t="0" r="0" b="0"/>
            <wp:wrapThrough wrapText="bothSides">
              <wp:wrapPolygon>
                <wp:start x="0" y="0"/>
                <wp:lineTo x="0" y="21449"/>
                <wp:lineTo x="21483" y="21449"/>
                <wp:lineTo x="21483" y="0"/>
                <wp:lineTo x="0" y="0"/>
              </wp:wrapPolygon>
            </wp:wrapThrough>
            <wp:docPr id="2" name="图片 2" descr="f2fddf4a1ba3b4c242964dd7123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fddf4a1ba3b4c242964dd71237992"/>
                    <pic:cNvPicPr>
                      <a:picLocks noChangeAspect="1"/>
                    </pic:cNvPicPr>
                  </pic:nvPicPr>
                  <pic:blipFill>
                    <a:blip r:embed="rId13"/>
                    <a:stretch>
                      <a:fillRect/>
                    </a:stretch>
                  </pic:blipFill>
                  <pic:spPr>
                    <a:xfrm>
                      <a:off x="0" y="0"/>
                      <a:ext cx="4941570" cy="3261360"/>
                    </a:xfrm>
                    <a:prstGeom prst="rect">
                      <a:avLst/>
                    </a:prstGeom>
                  </pic:spPr>
                </pic:pic>
              </a:graphicData>
            </a:graphic>
          </wp:anchor>
        </w:drawing>
      </w:r>
    </w:p>
    <w:p>
      <w:pPr>
        <w:pStyle w:val="3"/>
        <w:spacing w:line="560" w:lineRule="exact"/>
        <w:ind w:firstLine="632" w:firstLineChars="200"/>
        <w:rPr>
          <w:rFonts w:ascii="仿宋_GB2312" w:hAnsi="仿宋_GB2312"/>
          <w:bCs w:val="0"/>
          <w:sz w:val="32"/>
        </w:rPr>
      </w:pPr>
      <w:r>
        <w:rPr>
          <w:rFonts w:hint="eastAsia" w:ascii="仿宋_GB2312" w:hAnsi="仿宋_GB2312"/>
          <w:bCs w:val="0"/>
          <w:sz w:val="32"/>
        </w:rPr>
        <w:t>2.工业体系逐渐形成。工业产业结构调整优化工作取得一定成效，基本形成以机械汽配、电子电器工业、医药化工、水产品加工、建材工业为五大传统行业的工业体系。至2020年，五大传统行业产值占洞头规上工业总产值的比重约为93%，临港工业产值占洞头规上工业总产值的比重约为53%，战略性新兴产业增加值占规上工业增加值的比重达49.8%。</w:t>
      </w:r>
    </w:p>
    <w:p>
      <w:pPr>
        <w:pStyle w:val="8"/>
        <w:keepNext/>
        <w:jc w:val="center"/>
      </w:pPr>
      <w:r>
        <w:rPr>
          <w:rFonts w:hint="eastAsia"/>
        </w:rPr>
        <w:t>“十三五”期间主要行业产值情况</w:t>
      </w:r>
    </w:p>
    <w:p>
      <w:pPr>
        <w:pStyle w:val="3"/>
        <w:ind w:firstLine="472" w:firstLineChars="200"/>
        <w:jc w:val="left"/>
        <w:rPr>
          <w:rFonts w:ascii="仿宋_GB2312" w:hAnsi="仿宋_GB2312"/>
          <w:bCs w:val="0"/>
          <w:sz w:val="32"/>
        </w:rPr>
      </w:pPr>
      <w:r>
        <w:drawing>
          <wp:inline distT="0" distB="0" distL="0" distR="0">
            <wp:extent cx="5285740" cy="3091180"/>
            <wp:effectExtent l="0" t="0" r="10160"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85740" cy="3091180"/>
                    </a:xfrm>
                    <a:prstGeom prst="rect">
                      <a:avLst/>
                    </a:prstGeom>
                    <a:noFill/>
                  </pic:spPr>
                </pic:pic>
              </a:graphicData>
            </a:graphic>
          </wp:inline>
        </w:drawing>
      </w:r>
    </w:p>
    <w:p>
      <w:pPr>
        <w:pStyle w:val="3"/>
        <w:spacing w:line="560" w:lineRule="exact"/>
        <w:ind w:firstLine="632" w:firstLineChars="200"/>
        <w:rPr>
          <w:rFonts w:ascii="仿宋_GB2312" w:hAnsi="仿宋_GB2312"/>
          <w:bCs w:val="0"/>
          <w:sz w:val="32"/>
        </w:rPr>
      </w:pPr>
      <w:r>
        <w:rPr>
          <w:rFonts w:hint="eastAsia" w:ascii="仿宋_GB2312" w:hAnsi="仿宋_GB2312"/>
          <w:b/>
          <w:sz w:val="32"/>
        </w:rPr>
        <w:t>3.园区建设成效显著。</w:t>
      </w:r>
      <w:r>
        <w:rPr>
          <w:rFonts w:hint="eastAsia" w:ascii="仿宋_GB2312" w:hAnsi="仿宋_GB2312"/>
          <w:bCs w:val="0"/>
          <w:sz w:val="32"/>
        </w:rPr>
        <w:t>洞头石化产业基地雏形渐显，成功打造小门岛绿色清洁能源基地，洞头大小门临港石化产业区被认定为浙江省化工园区合格园区。电子电器科技园、机械汽配产业园、大门花岗岩产业园等小微创业园陆续建成投用，累计招引企业67家。</w:t>
      </w:r>
      <w:r>
        <w:rPr>
          <w:rFonts w:hint="eastAsia" w:ascii="Times New Roman" w:hAnsi="Times New Roman" w:cstheme="minorBidi"/>
          <w:bCs w:val="0"/>
          <w:sz w:val="32"/>
          <w:szCs w:val="22"/>
        </w:rPr>
        <w:t>旧厂房改造稳步推进，全区现有工业用地企业120家占用用地2142亩，未供地、已征未供、供而未用、待征待拆工业用地1466.8亩。</w:t>
      </w:r>
    </w:p>
    <w:p>
      <w:pPr>
        <w:pStyle w:val="3"/>
        <w:spacing w:line="560" w:lineRule="exact"/>
        <w:ind w:firstLine="632" w:firstLineChars="200"/>
        <w:rPr>
          <w:rFonts w:ascii="仿宋_GB2312" w:hAnsi="仿宋_GB2312"/>
          <w:bCs w:val="0"/>
          <w:sz w:val="32"/>
        </w:rPr>
      </w:pPr>
      <w:r>
        <w:rPr>
          <w:rFonts w:hint="eastAsia" w:ascii="仿宋_GB2312" w:hAnsi="仿宋_GB2312"/>
          <w:b/>
          <w:sz w:val="32"/>
        </w:rPr>
        <w:t>4.数字经济建设步伐加快。</w:t>
      </w:r>
      <w:r>
        <w:rPr>
          <w:rFonts w:ascii="Times New Roman" w:hAnsi="Times New Roman" w:cs="Times New Roman"/>
          <w:color w:val="000000" w:themeColor="text1"/>
          <w:sz w:val="32"/>
          <w14:textFill>
            <w14:solidFill>
              <w14:schemeClr w14:val="tx1"/>
            </w14:solidFill>
          </w14:textFill>
        </w:rPr>
        <w:t>深入实施数字经济“一号工程”，加快数字产业化和产业数字化</w:t>
      </w:r>
      <w:r>
        <w:rPr>
          <w:rFonts w:hint="eastAsia" w:ascii="Times New Roman" w:hAnsi="Times New Roman" w:cs="Times New Roman"/>
          <w:color w:val="000000" w:themeColor="text1"/>
          <w:sz w:val="32"/>
          <w14:textFill>
            <w14:solidFill>
              <w14:schemeClr w14:val="tx1"/>
            </w14:solidFill>
          </w14:textFill>
        </w:rPr>
        <w:t>建设，</w:t>
      </w:r>
      <w:r>
        <w:rPr>
          <w:rFonts w:hint="eastAsia" w:ascii="仿宋_GB2312" w:hAnsi="仿宋_GB2312"/>
          <w:bCs w:val="0"/>
          <w:sz w:val="32"/>
        </w:rPr>
        <w:t>全区数字经济发展综合评价指数为77.3，位次提升32位，两化融合指数为68.99，信息化发展指数为102.4。浙江诚意药业股份有限公司被认定为2019年温州市“两化融合”示范企业、浙江省第三批上云标杆企业以及2019年浙江省数字化车间，“帮企云”平台在疫情期间帮助企业破解难题，化解率达到100%。“无线城市”网络建设成效明显，实现156个重点公共区域覆盖WiFi，其中由政府出资建设免费WiFi65个，免费无线网络覆盖大部分公共场所。在4G网络实现100%覆盖的基础上，布点5G基站达到101个，基本实现主城区5G网络全覆盖、6个街道均有5G网络点。</w:t>
      </w:r>
    </w:p>
    <w:p>
      <w:pPr>
        <w:pStyle w:val="3"/>
        <w:spacing w:line="560" w:lineRule="exact"/>
        <w:ind w:firstLine="632" w:firstLineChars="200"/>
        <w:rPr>
          <w:rFonts w:ascii="仿宋_GB2312" w:hAnsi="仿宋_GB2312"/>
          <w:bCs w:val="0"/>
          <w:sz w:val="32"/>
        </w:rPr>
      </w:pPr>
      <w:r>
        <w:rPr>
          <w:rFonts w:hint="eastAsia" w:ascii="仿宋_GB2312" w:hAnsi="仿宋_GB2312"/>
          <w:b/>
          <w:sz w:val="32"/>
        </w:rPr>
        <w:t>5.科技综合实力不断提升。</w:t>
      </w:r>
      <w:r>
        <w:rPr>
          <w:rFonts w:hint="eastAsia" w:ascii="仿宋_GB2312" w:hAnsi="仿宋_GB2312"/>
          <w:bCs w:val="0"/>
          <w:sz w:val="32"/>
        </w:rPr>
        <w:t>2019年区规上工业企业R&amp;D经费投入9100多万元，全区拥有国家级高新技术企业10家，省科技型企业63家，省级企业研究院1家，省级企业技术研发中心4家，市级企业技术研发中心10家。“十三五”期间，先后与中科院南海海洋研究所等多家科研单位签订战略合作协议，新建院士专家工作站1家，成立杭州电子科技大学温州研究院驻洞头电子电器科技园区联络站</w:t>
      </w:r>
      <w:r>
        <w:rPr>
          <w:rFonts w:hint="eastAsia" w:ascii="仿宋_GB2312" w:hAnsi="仿宋_GB2312"/>
          <w:bCs w:val="0"/>
          <w:sz w:val="32"/>
          <w:lang w:val="zh-CN"/>
        </w:rPr>
        <w:t>，</w:t>
      </w:r>
      <w:r>
        <w:rPr>
          <w:rFonts w:hint="eastAsia" w:ascii="仿宋_GB2312" w:hAnsi="仿宋_GB2312"/>
          <w:bCs w:val="0"/>
          <w:sz w:val="32"/>
        </w:rPr>
        <w:t>建成省级“众创空间”和“星创天地”各1家、市级“众创空间”1家，“洞头区海洋生态产业创新服务综合体”成功列入市级综合体创建名单。全区全力推广“研发管理系统”，实现高新技术企业、规上企业和省科技型企业全覆盖，高新技术企业占规上企业数比重、规上企业R&amp;D活动覆盖率、研发机构设置率、申请发明专利和有发明专利授权的企业居省、市前列。</w:t>
      </w:r>
    </w:p>
    <w:p>
      <w:pPr>
        <w:jc w:val="center"/>
        <w:rPr>
          <w:rFonts w:ascii="黑体" w:hAnsi="黑体" w:eastAsia="黑体" w:cs="黑体"/>
          <w:sz w:val="24"/>
          <w:szCs w:val="24"/>
        </w:rPr>
      </w:pPr>
      <w:r>
        <w:rPr>
          <w:rFonts w:hint="eastAsia" w:ascii="黑体" w:hAnsi="黑体" w:eastAsia="黑体" w:cs="黑体"/>
          <w:sz w:val="24"/>
          <w:szCs w:val="24"/>
        </w:rPr>
        <w:t>表1：“十三五”规划纲要中工业、信息化和科技发展规划指标完成情况</w:t>
      </w:r>
    </w:p>
    <w:tbl>
      <w:tblPr>
        <w:tblStyle w:val="2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1552"/>
        <w:gridCol w:w="709"/>
        <w:gridCol w:w="1219"/>
        <w:gridCol w:w="1095"/>
        <w:gridCol w:w="1515"/>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类型</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序号</w:t>
            </w:r>
          </w:p>
        </w:tc>
        <w:tc>
          <w:tcPr>
            <w:tcW w:w="1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指标名称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单位</w:t>
            </w:r>
          </w:p>
        </w:tc>
        <w:tc>
          <w:tcPr>
            <w:tcW w:w="2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“十三五”规划值</w:t>
            </w:r>
          </w:p>
        </w:tc>
        <w:tc>
          <w:tcPr>
            <w:tcW w:w="2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“十三五”实际值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17" w:type="dxa"/>
            <w:vMerge w:val="continue"/>
            <w:shd w:val="clear" w:color="auto" w:fill="auto"/>
            <w:vAlign w:val="center"/>
          </w:tcPr>
          <w:p>
            <w:pPr>
              <w:spacing w:line="240" w:lineRule="exact"/>
              <w:jc w:val="center"/>
              <w:rPr>
                <w:rFonts w:ascii="宋体" w:hAnsi="宋体" w:eastAsia="宋体" w:cs="宋体"/>
                <w:b/>
                <w:sz w:val="20"/>
                <w:szCs w:val="20"/>
              </w:rPr>
            </w:pPr>
          </w:p>
        </w:tc>
        <w:tc>
          <w:tcPr>
            <w:tcW w:w="660" w:type="dxa"/>
            <w:vMerge w:val="continue"/>
            <w:shd w:val="clear" w:color="auto" w:fill="auto"/>
            <w:vAlign w:val="center"/>
          </w:tcPr>
          <w:p>
            <w:pPr>
              <w:spacing w:line="240" w:lineRule="exact"/>
              <w:jc w:val="center"/>
              <w:rPr>
                <w:rFonts w:ascii="宋体" w:hAnsi="宋体" w:eastAsia="宋体" w:cs="宋体"/>
                <w:b/>
                <w:sz w:val="20"/>
                <w:szCs w:val="20"/>
              </w:rPr>
            </w:pPr>
          </w:p>
        </w:tc>
        <w:tc>
          <w:tcPr>
            <w:tcW w:w="1552" w:type="dxa"/>
            <w:vMerge w:val="continue"/>
            <w:shd w:val="clear" w:color="auto" w:fill="auto"/>
            <w:vAlign w:val="center"/>
          </w:tcPr>
          <w:p>
            <w:pPr>
              <w:spacing w:line="240" w:lineRule="exact"/>
              <w:jc w:val="center"/>
              <w:rPr>
                <w:rFonts w:ascii="宋体" w:hAnsi="宋体" w:eastAsia="宋体" w:cs="宋体"/>
                <w:b/>
                <w:sz w:val="20"/>
                <w:szCs w:val="20"/>
              </w:rPr>
            </w:pPr>
          </w:p>
        </w:tc>
        <w:tc>
          <w:tcPr>
            <w:tcW w:w="709" w:type="dxa"/>
            <w:vMerge w:val="continue"/>
            <w:shd w:val="clear" w:color="auto" w:fill="auto"/>
            <w:vAlign w:val="center"/>
          </w:tcPr>
          <w:p>
            <w:pPr>
              <w:spacing w:line="240" w:lineRule="exact"/>
              <w:jc w:val="center"/>
              <w:rPr>
                <w:rFonts w:ascii="宋体" w:hAnsi="宋体" w:eastAsia="宋体" w:cs="宋体"/>
                <w:b/>
                <w:sz w:val="20"/>
                <w:szCs w:val="20"/>
              </w:rPr>
            </w:pPr>
          </w:p>
        </w:tc>
        <w:tc>
          <w:tcPr>
            <w:tcW w:w="1219" w:type="dxa"/>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2020年</w:t>
            </w:r>
          </w:p>
          <w:p>
            <w:pPr>
              <w:spacing w:line="240" w:lineRule="exact"/>
              <w:jc w:val="center"/>
              <w:rPr>
                <w:rFonts w:ascii="宋体" w:hAnsi="宋体" w:eastAsia="宋体" w:cs="宋体"/>
                <w:b/>
                <w:sz w:val="20"/>
                <w:szCs w:val="20"/>
              </w:rPr>
            </w:pPr>
            <w:r>
              <w:rPr>
                <w:rFonts w:hint="eastAsia" w:ascii="宋体" w:hAnsi="宋体" w:eastAsia="宋体" w:cs="宋体"/>
                <w:b/>
                <w:sz w:val="20"/>
                <w:szCs w:val="20"/>
              </w:rPr>
              <w:t>规划值</w:t>
            </w:r>
          </w:p>
        </w:tc>
        <w:tc>
          <w:tcPr>
            <w:tcW w:w="1095" w:type="dxa"/>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规划年均递增（%）</w:t>
            </w:r>
          </w:p>
        </w:tc>
        <w:tc>
          <w:tcPr>
            <w:tcW w:w="1515" w:type="dxa"/>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2020年</w:t>
            </w:r>
          </w:p>
          <w:p>
            <w:pPr>
              <w:spacing w:line="240" w:lineRule="exact"/>
              <w:jc w:val="center"/>
              <w:rPr>
                <w:rFonts w:ascii="宋体" w:hAnsi="宋体" w:eastAsia="宋体" w:cs="宋体"/>
                <w:b/>
                <w:sz w:val="20"/>
                <w:szCs w:val="20"/>
              </w:rPr>
            </w:pPr>
            <w:r>
              <w:rPr>
                <w:rFonts w:hint="eastAsia" w:ascii="宋体" w:hAnsi="宋体" w:eastAsia="宋体" w:cs="宋体"/>
                <w:b/>
                <w:sz w:val="20"/>
                <w:szCs w:val="20"/>
              </w:rPr>
              <w:t>实际值</w:t>
            </w:r>
          </w:p>
        </w:tc>
        <w:tc>
          <w:tcPr>
            <w:tcW w:w="1150" w:type="dxa"/>
            <w:shd w:val="clear" w:color="auto" w:fill="auto"/>
            <w:vAlign w:val="center"/>
          </w:tcPr>
          <w:p>
            <w:pPr>
              <w:spacing w:line="240" w:lineRule="exact"/>
              <w:jc w:val="center"/>
              <w:rPr>
                <w:rFonts w:ascii="宋体" w:hAnsi="宋体" w:eastAsia="宋体" w:cs="宋体"/>
                <w:b/>
                <w:sz w:val="20"/>
                <w:szCs w:val="20"/>
              </w:rPr>
            </w:pPr>
            <w:r>
              <w:rPr>
                <w:rFonts w:hint="eastAsia" w:ascii="宋体" w:hAnsi="宋体" w:eastAsia="宋体" w:cs="宋体"/>
                <w:b/>
                <w:sz w:val="20"/>
                <w:szCs w:val="20"/>
              </w:rPr>
              <w:t>实际年均递增（%）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质量效益</w:t>
            </w:r>
          </w:p>
        </w:tc>
        <w:tc>
          <w:tcPr>
            <w:tcW w:w="660"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w:t>
            </w:r>
          </w:p>
        </w:tc>
        <w:tc>
          <w:tcPr>
            <w:tcW w:w="1552"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工业总产值</w:t>
            </w:r>
          </w:p>
        </w:tc>
        <w:tc>
          <w:tcPr>
            <w:tcW w:w="709"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亿元</w:t>
            </w:r>
          </w:p>
        </w:tc>
        <w:tc>
          <w:tcPr>
            <w:tcW w:w="1219"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200</w:t>
            </w:r>
          </w:p>
        </w:tc>
        <w:tc>
          <w:tcPr>
            <w:tcW w:w="1095"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20</w:t>
            </w:r>
          </w:p>
        </w:tc>
        <w:tc>
          <w:tcPr>
            <w:tcW w:w="151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108.29</w:t>
            </w:r>
          </w:p>
        </w:tc>
        <w:tc>
          <w:tcPr>
            <w:tcW w:w="1150"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552"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工业增加值</w:t>
            </w:r>
          </w:p>
        </w:tc>
        <w:tc>
          <w:tcPr>
            <w:tcW w:w="709"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亿元</w:t>
            </w:r>
          </w:p>
        </w:tc>
        <w:tc>
          <w:tcPr>
            <w:tcW w:w="1219"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48</w:t>
            </w:r>
          </w:p>
        </w:tc>
        <w:tc>
          <w:tcPr>
            <w:tcW w:w="1095"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24</w:t>
            </w:r>
          </w:p>
        </w:tc>
        <w:tc>
          <w:tcPr>
            <w:tcW w:w="151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27.2</w:t>
            </w:r>
          </w:p>
        </w:tc>
        <w:tc>
          <w:tcPr>
            <w:tcW w:w="1150"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w:t>
            </w:r>
          </w:p>
        </w:tc>
        <w:tc>
          <w:tcPr>
            <w:tcW w:w="1552"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占GDP比重</w:t>
            </w:r>
          </w:p>
        </w:tc>
        <w:tc>
          <w:tcPr>
            <w:tcW w:w="709"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w:t>
            </w:r>
          </w:p>
        </w:tc>
        <w:tc>
          <w:tcPr>
            <w:tcW w:w="1219"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40</w:t>
            </w:r>
          </w:p>
        </w:tc>
        <w:tc>
          <w:tcPr>
            <w:tcW w:w="109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151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23.78</w:t>
            </w:r>
          </w:p>
        </w:tc>
        <w:tc>
          <w:tcPr>
            <w:tcW w:w="1150"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4</w:t>
            </w:r>
          </w:p>
        </w:tc>
        <w:tc>
          <w:tcPr>
            <w:tcW w:w="1552"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工业利税</w:t>
            </w:r>
          </w:p>
        </w:tc>
        <w:tc>
          <w:tcPr>
            <w:tcW w:w="709"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亿元</w:t>
            </w:r>
          </w:p>
        </w:tc>
        <w:tc>
          <w:tcPr>
            <w:tcW w:w="1219"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13</w:t>
            </w:r>
          </w:p>
        </w:tc>
        <w:tc>
          <w:tcPr>
            <w:tcW w:w="109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51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2.69（5.58）</w:t>
            </w:r>
          </w:p>
        </w:tc>
        <w:tc>
          <w:tcPr>
            <w:tcW w:w="1150"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552"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工业性投资</w:t>
            </w:r>
          </w:p>
        </w:tc>
        <w:tc>
          <w:tcPr>
            <w:tcW w:w="709" w:type="dxa"/>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sz w:val="18"/>
                <w:szCs w:val="18"/>
              </w:rPr>
              <w:t>亿元</w:t>
            </w:r>
          </w:p>
        </w:tc>
        <w:tc>
          <w:tcPr>
            <w:tcW w:w="1219" w:type="dxa"/>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110（累计）</w:t>
            </w:r>
          </w:p>
        </w:tc>
        <w:tc>
          <w:tcPr>
            <w:tcW w:w="1095"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1515" w:type="dxa"/>
            <w:shd w:val="clear" w:color="auto" w:fill="auto"/>
            <w:vAlign w:val="center"/>
          </w:tcPr>
          <w:p>
            <w:pPr>
              <w:spacing w:line="240" w:lineRule="exact"/>
              <w:jc w:val="center"/>
              <w:rPr>
                <w:rFonts w:ascii="宋体" w:hAnsi="宋体" w:eastAsia="宋体" w:cs="宋体"/>
                <w:sz w:val="18"/>
                <w:szCs w:val="18"/>
              </w:rPr>
            </w:pPr>
          </w:p>
        </w:tc>
        <w:tc>
          <w:tcPr>
            <w:tcW w:w="1150" w:type="dxa"/>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shd w:val="clear" w:color="auto" w:fill="auto"/>
            <w:vAlign w:val="center"/>
          </w:tcPr>
          <w:p>
            <w:pPr>
              <w:spacing w:line="300" w:lineRule="exact"/>
              <w:jc w:val="center"/>
              <w:rPr>
                <w:rFonts w:ascii="宋体" w:hAnsi="宋体" w:eastAsia="宋体" w:cs="宋体"/>
                <w:b/>
                <w:sz w:val="28"/>
                <w:szCs w:val="28"/>
              </w:rPr>
            </w:pPr>
            <w:bookmarkStart w:id="16" w:name="_Hlk72396703"/>
            <w:r>
              <w:rPr>
                <w:rFonts w:hint="eastAsia" w:ascii="宋体" w:hAnsi="宋体" w:eastAsia="宋体" w:cs="宋体"/>
                <w:b/>
                <w:sz w:val="18"/>
                <w:szCs w:val="18"/>
              </w:rPr>
              <w:t>产业结构</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6</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规上工业全员劳动生产率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万元/人·年</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36</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20.98（29.46）</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7</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超10亿元工业企业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2（1）</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8</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超亿元工业企业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[16]</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9（9）</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9</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规上工业企业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56</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[24]</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63（35）</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创新驱动</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R&amp;D投入占生产总值的比重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1.65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[0.65]</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2.06（1.07）</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高新技术产业增加值占规上工业增加值比重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58.5（55.5）</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12</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国家高新技术企业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11</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30（14）</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13</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省级科技型企业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74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[40]</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120（67）</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14</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省级以上名牌和商标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只</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17" w:type="dxa"/>
            <w:vMerge w:val="restart"/>
            <w:shd w:val="clear" w:color="auto" w:fill="auto"/>
            <w:vAlign w:val="center"/>
          </w:tcPr>
          <w:p>
            <w:pPr>
              <w:spacing w:line="300" w:lineRule="exact"/>
              <w:jc w:val="center"/>
              <w:rPr>
                <w:rFonts w:ascii="宋体" w:hAnsi="宋体" w:eastAsia="宋体" w:cs="宋体"/>
                <w:b/>
                <w:sz w:val="28"/>
                <w:szCs w:val="28"/>
              </w:rPr>
            </w:pPr>
            <w:r>
              <w:rPr>
                <w:rFonts w:hint="eastAsia" w:ascii="宋体" w:hAnsi="宋体" w:eastAsia="宋体" w:cs="宋体"/>
                <w:b/>
                <w:sz w:val="18"/>
                <w:szCs w:val="18"/>
              </w:rPr>
              <w:t>数字智造</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15</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城市信息化指数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≥0.9</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[0.03]</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16</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“两化”融合发展指数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≥73</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[29.86]</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68.99</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17</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光纤到户覆盖率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shd w:val="clear" w:color="auto" w:fill="auto"/>
            <w:vAlign w:val="center"/>
          </w:tcPr>
          <w:p>
            <w:pPr>
              <w:spacing w:line="300" w:lineRule="exact"/>
              <w:jc w:val="center"/>
              <w:rPr>
                <w:rFonts w:ascii="宋体" w:hAnsi="宋体" w:eastAsia="宋体" w:cs="宋体"/>
                <w:b/>
                <w:sz w:val="28"/>
                <w:szCs w:val="28"/>
              </w:rPr>
            </w:pPr>
            <w:r>
              <w:rPr>
                <w:rFonts w:hint="eastAsia" w:ascii="宋体" w:hAnsi="宋体" w:eastAsia="宋体" w:cs="宋体"/>
                <w:b/>
                <w:sz w:val="18"/>
                <w:szCs w:val="18"/>
              </w:rPr>
              <w:t>绿色发展</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18</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万元GDP能耗累计下降率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吨标准煤</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16</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3.4</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（1.28）</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19</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绿色企业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17" w:type="dxa"/>
            <w:vMerge w:val="continue"/>
            <w:shd w:val="clear" w:color="auto" w:fill="auto"/>
            <w:vAlign w:val="center"/>
          </w:tcPr>
          <w:p>
            <w:pPr>
              <w:spacing w:line="300" w:lineRule="exact"/>
              <w:jc w:val="center"/>
              <w:rPr>
                <w:rFonts w:ascii="宋体" w:hAnsi="宋体" w:eastAsia="宋体" w:cs="宋体"/>
                <w:b/>
                <w:sz w:val="28"/>
                <w:szCs w:val="28"/>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b/>
                <w:sz w:val="18"/>
                <w:szCs w:val="18"/>
              </w:rPr>
            </w:pPr>
            <w:r>
              <w:rPr>
                <w:rFonts w:hint="eastAsia" w:ascii="宋体" w:hAnsi="宋体" w:eastAsia="宋体" w:cs="宋体"/>
                <w:b/>
                <w:sz w:val="18"/>
                <w:szCs w:val="18"/>
              </w:rPr>
              <w:t>20</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清洁生产企业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家</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所有规上企业</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[51]</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bookmarkEnd w:id="16"/>
    </w:tbl>
    <w:p>
      <w:pPr>
        <w:pStyle w:val="2"/>
      </w:pPr>
    </w:p>
    <w:p>
      <w:pPr>
        <w:spacing w:line="560" w:lineRule="exact"/>
        <w:ind w:firstLine="472" w:firstLineChars="200"/>
        <w:outlineLvl w:val="0"/>
      </w:pPr>
      <w:bookmarkStart w:id="17" w:name="_Toc13709"/>
      <w:bookmarkStart w:id="18" w:name="_Toc30293"/>
      <w:r>
        <w:rPr>
          <w:rFonts w:hint="eastAsia" w:ascii="黑体" w:hAnsi="黑体" w:eastAsia="黑体" w:cs="黑体"/>
          <w:sz w:val="24"/>
          <w:szCs w:val="24"/>
        </w:rPr>
        <w:t>注：1.表中若无特殊说明均为大洞头指标，“（）”内数据为小洞头指标；2.</w:t>
      </w:r>
      <w:r>
        <w:rPr>
          <w:rFonts w:hint="eastAsia" w:ascii="黑体" w:hAnsi="黑体" w:eastAsia="黑体" w:cs="黑体"/>
          <w:sz w:val="24"/>
          <w:szCs w:val="24"/>
          <w:lang w:val="zh-CN"/>
        </w:rPr>
        <w:t>“工业总产值”指标因统计制度调整无法预测；</w:t>
      </w:r>
      <w:r>
        <w:rPr>
          <w:rFonts w:hint="eastAsia" w:ascii="黑体" w:hAnsi="黑体" w:eastAsia="黑体" w:cs="黑体"/>
          <w:sz w:val="24"/>
          <w:szCs w:val="24"/>
        </w:rPr>
        <w:t>3.“工业性投资”</w:t>
      </w:r>
      <w:r>
        <w:rPr>
          <w:rFonts w:hint="eastAsia" w:ascii="黑体" w:hAnsi="黑体" w:eastAsia="黑体" w:cs="黑体"/>
          <w:sz w:val="24"/>
          <w:szCs w:val="24"/>
          <w:lang w:val="zh-CN"/>
        </w:rPr>
        <w:t>指标</w:t>
      </w:r>
      <w:r>
        <w:rPr>
          <w:rFonts w:hint="eastAsia" w:ascii="黑体" w:hAnsi="黑体" w:eastAsia="黑体" w:cs="黑体"/>
          <w:sz w:val="24"/>
          <w:szCs w:val="24"/>
        </w:rPr>
        <w:t>因缺少部分数据，无法统计；4.</w:t>
      </w:r>
      <w:r>
        <w:rPr>
          <w:rFonts w:hint="eastAsia" w:ascii="黑体" w:hAnsi="黑体" w:eastAsia="黑体" w:cs="黑体"/>
          <w:sz w:val="24"/>
          <w:szCs w:val="24"/>
          <w:lang w:val="zh-CN"/>
        </w:rPr>
        <w:t>“省级以上名牌和商标”指标因浙江省于2017年底取消省著名商标评选认定，故在中期报告中建议取消；</w:t>
      </w:r>
      <w:r>
        <w:rPr>
          <w:rFonts w:hint="eastAsia" w:ascii="黑体" w:hAnsi="黑体" w:eastAsia="黑体" w:cs="黑体"/>
          <w:sz w:val="24"/>
          <w:szCs w:val="24"/>
        </w:rPr>
        <w:t>5.</w:t>
      </w:r>
      <w:r>
        <w:rPr>
          <w:rFonts w:hint="eastAsia" w:ascii="黑体" w:hAnsi="黑体" w:eastAsia="黑体" w:cs="黑体"/>
          <w:sz w:val="24"/>
          <w:szCs w:val="24"/>
          <w:lang w:val="zh-CN"/>
        </w:rPr>
        <w:t>“万元GDP能耗累计下降率”指标因国家碳“3060”计划提出，统计制度调整无法预测；</w:t>
      </w:r>
      <w:r>
        <w:rPr>
          <w:rFonts w:hint="eastAsia" w:ascii="黑体" w:hAnsi="黑体" w:eastAsia="黑体" w:cs="黑体"/>
          <w:sz w:val="24"/>
          <w:szCs w:val="24"/>
        </w:rPr>
        <w:t>6.“城市信息化指数”</w:t>
      </w:r>
      <w:r>
        <w:rPr>
          <w:rFonts w:hint="eastAsia" w:ascii="黑体" w:hAnsi="黑体" w:eastAsia="黑体" w:cs="黑体"/>
          <w:sz w:val="24"/>
          <w:szCs w:val="24"/>
          <w:lang w:val="zh-CN"/>
        </w:rPr>
        <w:t>指标</w:t>
      </w:r>
      <w:r>
        <w:rPr>
          <w:rFonts w:hint="eastAsia" w:ascii="黑体" w:hAnsi="黑体" w:eastAsia="黑体" w:cs="黑体"/>
          <w:sz w:val="24"/>
          <w:szCs w:val="24"/>
        </w:rPr>
        <w:t>因统计口径改变，无法对指标进行预测；7.R&amp;D经费支出占GDP比重为2019年度数据，2020年度数据尚未核定。</w:t>
      </w:r>
      <w:bookmarkEnd w:id="17"/>
      <w:bookmarkEnd w:id="18"/>
    </w:p>
    <w:p>
      <w:pPr>
        <w:pStyle w:val="6"/>
        <w:spacing w:before="0" w:after="0" w:line="560" w:lineRule="exact"/>
        <w:ind w:firstLine="632" w:firstLineChars="200"/>
        <w:rPr>
          <w:rFonts w:ascii="楷体" w:hAnsi="楷体" w:eastAsia="楷体" w:cs="楷体"/>
          <w:b w:val="0"/>
          <w:bCs w:val="0"/>
        </w:rPr>
      </w:pPr>
      <w:bookmarkStart w:id="19" w:name="_Toc1338266251"/>
      <w:bookmarkStart w:id="20" w:name="_Toc25223"/>
      <w:bookmarkStart w:id="21" w:name="_Toc29723"/>
      <w:bookmarkStart w:id="22" w:name="_Toc10730"/>
      <w:bookmarkStart w:id="23" w:name="_Toc4375"/>
      <w:bookmarkStart w:id="24" w:name="_Toc13690"/>
      <w:r>
        <w:rPr>
          <w:rFonts w:hint="eastAsia" w:ascii="楷体" w:hAnsi="楷体" w:eastAsia="楷体" w:cs="楷体"/>
          <w:b w:val="0"/>
          <w:bCs w:val="0"/>
        </w:rPr>
        <w:t>（二）存在问题</w:t>
      </w:r>
      <w:bookmarkEnd w:id="19"/>
      <w:bookmarkEnd w:id="20"/>
      <w:bookmarkEnd w:id="21"/>
      <w:bookmarkEnd w:id="22"/>
      <w:bookmarkEnd w:id="23"/>
      <w:bookmarkEnd w:id="24"/>
    </w:p>
    <w:p>
      <w:pPr>
        <w:pStyle w:val="3"/>
        <w:spacing w:line="560" w:lineRule="exact"/>
        <w:ind w:firstLine="632" w:firstLineChars="200"/>
        <w:rPr>
          <w:rFonts w:ascii="仿宋_GB2312" w:hAnsi="仿宋_GB2312"/>
          <w:bCs w:val="0"/>
          <w:sz w:val="32"/>
        </w:rPr>
      </w:pPr>
      <w:r>
        <w:rPr>
          <w:rFonts w:hint="eastAsia" w:ascii="仿宋_GB2312" w:hAnsi="仿宋_GB2312"/>
          <w:bCs w:val="0"/>
          <w:sz w:val="32"/>
        </w:rPr>
        <w:t>十三五期间，洞头工业、信息与科技化发展工作取得一定成绩，但仍存在一系列突出矛盾和问题。</w:t>
      </w:r>
      <w:r>
        <w:rPr>
          <w:rFonts w:hint="eastAsia" w:ascii="仿宋_GB2312" w:hAnsi="仿宋_GB2312"/>
          <w:b/>
          <w:sz w:val="32"/>
        </w:rPr>
        <w:t>一是产业发展缺乏集聚效应。</w:t>
      </w:r>
      <w:r>
        <w:rPr>
          <w:rFonts w:hint="eastAsia" w:ascii="仿宋_GB2312" w:hAnsi="仿宋_GB2312"/>
          <w:bCs w:val="0"/>
          <w:sz w:val="32"/>
          <w:lang w:val="zh-CN"/>
        </w:rPr>
        <w:t>产业结构联动性较差，未能形成产业链上下游的有效衔接；</w:t>
      </w:r>
      <w:r>
        <w:rPr>
          <w:rFonts w:hint="eastAsia" w:ascii="仿宋_GB2312" w:hAnsi="仿宋_GB2312"/>
          <w:bCs w:val="0"/>
          <w:sz w:val="32"/>
        </w:rPr>
        <w:t>已</w:t>
      </w:r>
      <w:r>
        <w:rPr>
          <w:rFonts w:hint="eastAsia" w:ascii="仿宋_GB2312" w:hAnsi="仿宋_GB2312"/>
          <w:bCs w:val="0"/>
          <w:sz w:val="32"/>
          <w:lang w:val="zh-CN"/>
        </w:rPr>
        <w:t>入驻项目和落地企业</w:t>
      </w:r>
      <w:r>
        <w:rPr>
          <w:rFonts w:hint="eastAsia" w:ascii="仿宋_GB2312" w:hAnsi="仿宋_GB2312"/>
          <w:bCs w:val="0"/>
          <w:sz w:val="32"/>
        </w:rPr>
        <w:t>多</w:t>
      </w:r>
      <w:r>
        <w:rPr>
          <w:rFonts w:hint="eastAsia" w:ascii="仿宋_GB2312" w:hAnsi="仿宋_GB2312"/>
          <w:bCs w:val="0"/>
          <w:sz w:val="32"/>
          <w:lang w:val="zh-CN"/>
        </w:rPr>
        <w:t>以单体形式存在，园区集聚效益未能如预期形成，产业平台</w:t>
      </w:r>
      <w:r>
        <w:rPr>
          <w:rFonts w:hint="eastAsia" w:ascii="仿宋_GB2312" w:hAnsi="仿宋_GB2312"/>
          <w:bCs w:val="0"/>
          <w:sz w:val="32"/>
        </w:rPr>
        <w:t>的</w:t>
      </w:r>
      <w:r>
        <w:rPr>
          <w:rFonts w:hint="eastAsia" w:ascii="仿宋_GB2312" w:hAnsi="仿宋_GB2312"/>
          <w:bCs w:val="0"/>
          <w:sz w:val="32"/>
          <w:lang w:val="zh-CN"/>
        </w:rPr>
        <w:t>集聚</w:t>
      </w:r>
      <w:r>
        <w:rPr>
          <w:rFonts w:hint="eastAsia" w:ascii="仿宋_GB2312" w:hAnsi="仿宋_GB2312"/>
          <w:bCs w:val="0"/>
          <w:sz w:val="32"/>
        </w:rPr>
        <w:t>效应</w:t>
      </w:r>
      <w:r>
        <w:rPr>
          <w:rFonts w:hint="eastAsia" w:ascii="仿宋_GB2312" w:hAnsi="仿宋_GB2312"/>
          <w:bCs w:val="0"/>
          <w:sz w:val="32"/>
          <w:lang w:val="zh-CN"/>
        </w:rPr>
        <w:t>不强；全区工业发展对医药化工</w:t>
      </w:r>
      <w:r>
        <w:rPr>
          <w:rFonts w:hint="eastAsia" w:ascii="仿宋_GB2312" w:hAnsi="仿宋_GB2312"/>
          <w:bCs w:val="0"/>
          <w:sz w:val="32"/>
        </w:rPr>
        <w:t>产业</w:t>
      </w:r>
      <w:r>
        <w:rPr>
          <w:rFonts w:hint="eastAsia" w:ascii="仿宋_GB2312" w:hAnsi="仿宋_GB2312"/>
          <w:bCs w:val="0"/>
          <w:sz w:val="32"/>
          <w:lang w:val="zh-CN"/>
        </w:rPr>
        <w:t>依赖性较大，缺乏具有强大区域竞争力和经济增长推动力的产业集群。</w:t>
      </w:r>
      <w:r>
        <w:rPr>
          <w:rFonts w:hint="eastAsia" w:ascii="仿宋_GB2312" w:hAnsi="仿宋_GB2312"/>
          <w:b/>
          <w:sz w:val="32"/>
        </w:rPr>
        <w:t>二是高新产业缺乏基础、体系支撑。</w:t>
      </w:r>
      <w:r>
        <w:rPr>
          <w:rFonts w:hint="eastAsia" w:ascii="仿宋_GB2312" w:hAnsi="仿宋_GB2312"/>
          <w:bCs w:val="0"/>
          <w:sz w:val="32"/>
        </w:rPr>
        <w:t>全区企业创新能力与发达地区相比在科研队伍、科研投入、科研产出等方面存在一定差距，</w:t>
      </w:r>
      <w:r>
        <w:rPr>
          <w:rFonts w:hint="eastAsia" w:ascii="仿宋_GB2312" w:hAnsi="仿宋_GB2312"/>
          <w:bCs w:val="0"/>
          <w:sz w:val="32"/>
          <w:lang w:val="zh-CN"/>
        </w:rPr>
        <w:t>企业研发成果转化缓慢，</w:t>
      </w:r>
      <w:r>
        <w:rPr>
          <w:rFonts w:hint="eastAsia" w:ascii="仿宋_GB2312" w:hAnsi="宋体"/>
          <w:sz w:val="32"/>
        </w:rPr>
        <w:t>高能级创新平台不足，</w:t>
      </w:r>
      <w:r>
        <w:rPr>
          <w:rFonts w:hint="eastAsia" w:ascii="仿宋_GB2312" w:hAnsi="仿宋_GB2312"/>
          <w:bCs w:val="0"/>
          <w:sz w:val="32"/>
          <w:lang w:val="zh-CN"/>
        </w:rPr>
        <w:t>科技创新发展</w:t>
      </w:r>
      <w:r>
        <w:rPr>
          <w:rFonts w:hint="eastAsia" w:ascii="仿宋_GB2312" w:hAnsi="仿宋_GB2312"/>
          <w:bCs w:val="0"/>
          <w:sz w:val="32"/>
        </w:rPr>
        <w:t>体系尚未完全形成，</w:t>
      </w:r>
      <w:r>
        <w:rPr>
          <w:rFonts w:hint="eastAsia" w:ascii="仿宋_GB2312" w:hAnsi="仿宋_GB2312"/>
          <w:bCs w:val="0"/>
          <w:sz w:val="32"/>
          <w:lang w:val="zh-CN"/>
        </w:rPr>
        <w:t>对</w:t>
      </w:r>
      <w:r>
        <w:rPr>
          <w:rFonts w:hint="eastAsia" w:ascii="仿宋_GB2312" w:hAnsi="仿宋_GB2312"/>
          <w:bCs w:val="0"/>
          <w:sz w:val="32"/>
        </w:rPr>
        <w:t>区域</w:t>
      </w:r>
      <w:r>
        <w:rPr>
          <w:rFonts w:hint="eastAsia" w:ascii="仿宋_GB2312" w:hAnsi="仿宋_GB2312"/>
          <w:bCs w:val="0"/>
          <w:sz w:val="32"/>
          <w:lang w:val="zh-CN"/>
        </w:rPr>
        <w:t>经济发展支撑</w:t>
      </w:r>
      <w:r>
        <w:rPr>
          <w:rFonts w:hint="eastAsia" w:ascii="仿宋_GB2312" w:hAnsi="仿宋_GB2312"/>
          <w:bCs w:val="0"/>
          <w:sz w:val="32"/>
        </w:rPr>
        <w:t>效用尚未完全显现</w:t>
      </w:r>
      <w:r>
        <w:rPr>
          <w:rFonts w:hint="eastAsia" w:ascii="仿宋_GB2312" w:hAnsi="仿宋_GB2312"/>
          <w:bCs w:val="0"/>
          <w:sz w:val="32"/>
          <w:lang w:val="zh-CN"/>
        </w:rPr>
        <w:t>。</w:t>
      </w:r>
      <w:r>
        <w:rPr>
          <w:rFonts w:hint="eastAsia" w:ascii="仿宋_GB2312" w:hAnsi="仿宋_GB2312"/>
          <w:b/>
          <w:sz w:val="32"/>
        </w:rPr>
        <w:t>三是产业发展缺乏要素支持。</w:t>
      </w:r>
      <w:r>
        <w:rPr>
          <w:rFonts w:hint="eastAsia" w:ascii="仿宋_GB2312" w:hAnsi="仿宋_GB2312"/>
          <w:bCs w:val="0"/>
          <w:sz w:val="32"/>
        </w:rPr>
        <w:t>受海岛独特条件制约及国家围填海政策严格管控影响，发展用地供应先天不足；受区位、产业、资金等方面优势不足影响，面临“引才难”“留才难”困境，人才使用效能较低</w:t>
      </w:r>
      <w:r>
        <w:rPr>
          <w:rFonts w:hint="eastAsia" w:ascii="仿宋_GB2312" w:hAnsi="宋体"/>
          <w:sz w:val="32"/>
        </w:rPr>
        <w:t>；</w:t>
      </w:r>
      <w:r>
        <w:rPr>
          <w:rFonts w:hint="eastAsia" w:ascii="仿宋_GB2312" w:hAnsi="仿宋_GB2312"/>
          <w:bCs w:val="0"/>
          <w:sz w:val="32"/>
        </w:rPr>
        <w:t>在经济发展趋缓大背景下，伴随“海上花园”建设提质加速，重点项目建设资金需求大，财政收支矛盾将进一步突显。</w:t>
      </w:r>
      <w:r>
        <w:rPr>
          <w:rFonts w:hint="eastAsia" w:ascii="仿宋_GB2312" w:hAnsi="仿宋_GB2312"/>
          <w:b/>
          <w:sz w:val="32"/>
        </w:rPr>
        <w:t>四是产业发展受能耗硬约束加大。</w:t>
      </w:r>
      <w:r>
        <w:rPr>
          <w:rFonts w:hint="eastAsia" w:ascii="仿宋_GB2312" w:hAnsi="仿宋_GB2312"/>
          <w:bCs w:val="0"/>
          <w:sz w:val="32"/>
        </w:rPr>
        <w:t>国家已明确将碳达峰、碳中和纳入生态文明建设整体布局，“十四五”期间将成为碳达峰的关键期、窗口期，随着淘汰落后产能工作的逐步推进，产品单耗下降幅度越来越小，企业技术性节能难度越来越大，化工、建材、沥青等高能耗、重污染、高排放行业的节能降耗工作与未来招商引资项目将面临严峻考验。</w:t>
      </w:r>
    </w:p>
    <w:p>
      <w:pPr>
        <w:pStyle w:val="6"/>
        <w:spacing w:before="0" w:after="0" w:line="560" w:lineRule="exact"/>
        <w:ind w:firstLine="632" w:firstLineChars="200"/>
        <w:rPr>
          <w:rFonts w:ascii="楷体" w:hAnsi="楷体" w:eastAsia="楷体" w:cs="楷体"/>
          <w:b w:val="0"/>
          <w:bCs w:val="0"/>
        </w:rPr>
      </w:pPr>
      <w:bookmarkStart w:id="25" w:name="_Toc22171"/>
      <w:bookmarkStart w:id="26" w:name="_Toc13716"/>
      <w:bookmarkStart w:id="27" w:name="_Toc16456"/>
      <w:r>
        <w:rPr>
          <w:rFonts w:hint="eastAsia" w:ascii="楷体" w:hAnsi="楷体" w:eastAsia="楷体" w:cs="楷体"/>
          <w:b w:val="0"/>
          <w:bCs w:val="0"/>
        </w:rPr>
        <w:t>（三）发展环境</w:t>
      </w:r>
      <w:bookmarkEnd w:id="25"/>
      <w:bookmarkEnd w:id="26"/>
      <w:bookmarkEnd w:id="27"/>
    </w:p>
    <w:p>
      <w:pPr>
        <w:pStyle w:val="3"/>
        <w:spacing w:line="560" w:lineRule="exact"/>
        <w:ind w:firstLine="632" w:firstLineChars="200"/>
        <w:rPr>
          <w:rFonts w:ascii="仿宋_GB2312" w:hAnsi="仿宋_GB2312"/>
          <w:bCs w:val="0"/>
          <w:sz w:val="32"/>
        </w:rPr>
      </w:pPr>
      <w:r>
        <w:rPr>
          <w:rFonts w:hint="eastAsia" w:ascii="仿宋_GB2312" w:hAnsi="仿宋_GB2312"/>
          <w:bCs w:val="0"/>
          <w:sz w:val="32"/>
        </w:rPr>
        <w:t>“十四五”期间，是洞头区承上启下、深化发展的关键五年，也是加速融入长三角一体化发展国家战略的重要时间节点，但机遇和挑战都有新的发展变化。</w:t>
      </w:r>
    </w:p>
    <w:p>
      <w:pPr>
        <w:pStyle w:val="3"/>
        <w:spacing w:line="560" w:lineRule="exact"/>
        <w:ind w:firstLine="632" w:firstLineChars="200"/>
        <w:outlineLvl w:val="2"/>
        <w:rPr>
          <w:rFonts w:ascii="仿宋_GB2312" w:hAnsi="仿宋_GB2312"/>
          <w:b/>
          <w:sz w:val="32"/>
        </w:rPr>
      </w:pPr>
      <w:r>
        <w:rPr>
          <w:rFonts w:hint="eastAsia" w:ascii="仿宋_GB2312" w:hAnsi="仿宋_GB2312"/>
          <w:b/>
          <w:sz w:val="32"/>
        </w:rPr>
        <w:t>1.发展面临的新机遇</w:t>
      </w:r>
    </w:p>
    <w:p>
      <w:pPr>
        <w:pStyle w:val="3"/>
        <w:spacing w:line="560" w:lineRule="exact"/>
        <w:ind w:firstLine="632" w:firstLineChars="200"/>
        <w:rPr>
          <w:rFonts w:ascii="仿宋_GB2312" w:hAnsi="仿宋_GB2312"/>
          <w:bCs w:val="0"/>
          <w:sz w:val="32"/>
        </w:rPr>
      </w:pPr>
      <w:r>
        <w:rPr>
          <w:rFonts w:hint="eastAsia" w:ascii="仿宋_GB2312" w:hAnsi="仿宋_GB2312"/>
          <w:b/>
          <w:sz w:val="32"/>
        </w:rPr>
        <w:t>——全球工业革命兴起带来的新机遇。</w:t>
      </w:r>
      <w:r>
        <w:rPr>
          <w:rFonts w:hint="eastAsia" w:ascii="仿宋_GB2312" w:hAnsi="仿宋_GB2312"/>
          <w:bCs w:val="0"/>
          <w:sz w:val="32"/>
        </w:rPr>
        <w:t>当前，以物联网、大数据、机器人及人工智能等技术为驱动力的第四次工业革命正以前所未有的态势席卷全球，以新一代信息技术与传统产业相融合的产业发展新格局正孕育成型。洞头需抢抓新一轮科技革命和产业变革的重大历史机遇，加快推进海洋领域科技创新，全力发展海洋战略性新兴产业，构建具有区域竞争力的现代海洋产业体系。</w:t>
      </w:r>
    </w:p>
    <w:p>
      <w:pPr>
        <w:pStyle w:val="3"/>
        <w:spacing w:line="560" w:lineRule="exact"/>
        <w:ind w:firstLine="632" w:firstLineChars="200"/>
        <w:rPr>
          <w:rFonts w:ascii="仿宋_GB2312" w:hAnsi="仿宋_GB2312"/>
          <w:bCs w:val="0"/>
          <w:sz w:val="32"/>
        </w:rPr>
      </w:pPr>
      <w:r>
        <w:rPr>
          <w:rFonts w:ascii="仿宋_GB2312" w:hAnsi="仿宋_GB2312"/>
          <w:b/>
          <w:sz w:val="32"/>
        </w:rPr>
        <w:t>——我国发展阶段变化带来的新机遇。</w:t>
      </w:r>
      <w:r>
        <w:rPr>
          <w:rFonts w:ascii="仿宋_GB2312" w:hAnsi="仿宋_GB2312"/>
          <w:bCs w:val="0"/>
          <w:sz w:val="32"/>
        </w:rPr>
        <w:t>“十四五”是中国“两个百年”奋斗目标承上启下的关键五年，是“两个大局”加速演进、科技革命加快孕育、区域竞争越发激烈的五年。随着“双循环”发展新格局的拉开，超大规模的国内市场及中国独特的制度优势将为我区工业、信息化和科技发展持续提供拉力。</w:t>
      </w:r>
      <w:r>
        <w:rPr>
          <w:rFonts w:hint="eastAsia" w:ascii="仿宋_GB2312" w:hAnsi="仿宋_GB2312"/>
          <w:bCs w:val="0"/>
          <w:sz w:val="32"/>
        </w:rPr>
        <w:t>国内新发展格局加快构建、数字经济加快发展的态势将为我区参与区域经济活动、共享经济成果打通新渠道。长三角区域加快迈向一体化发展阶段，港口群市场化整合态势向好，为洞头融入全省港口一体化发展，助力推进更高质量一体化发展港区立体化开发通道，加强与上海港、宁波舟山港的业务合作创造了新环境。</w:t>
      </w:r>
    </w:p>
    <w:p>
      <w:pPr>
        <w:pStyle w:val="3"/>
        <w:spacing w:line="560" w:lineRule="exact"/>
        <w:ind w:firstLine="632" w:firstLineChars="200"/>
        <w:rPr>
          <w:rFonts w:ascii="仿宋_GB2312" w:hAnsi="仿宋_GB2312"/>
          <w:bCs w:val="0"/>
          <w:sz w:val="32"/>
        </w:rPr>
      </w:pPr>
      <w:r>
        <w:rPr>
          <w:rFonts w:hint="eastAsia" w:ascii="仿宋_GB2312" w:hAnsi="仿宋_GB2312"/>
          <w:b/>
          <w:sz w:val="32"/>
        </w:rPr>
        <w:t>——我省建设“重要窗口”和海洋强省战略叠加的新机遇。</w:t>
      </w:r>
      <w:r>
        <w:rPr>
          <w:rFonts w:hint="eastAsia" w:ascii="仿宋_GB2312" w:hAnsi="仿宋_GB2312"/>
          <w:bCs w:val="0"/>
          <w:sz w:val="32"/>
        </w:rPr>
        <w:t>我省开启高水平社会主义现代化建设新征程，全面推进“一带一路”重要枢纽建设，全力打造“十个方面重要窗口”，深入实施数字经济“一号工程”。海洋强省战略深入实施、大湾区大花园大通道大都市区建设大力推进，为我区发展海洋经济注入了新动力。“十四五”期间，我区要充分利用好浙江建设“重要窗口”和海洋强省战略叠加释放的政策红利，做好产业协同集聚发展、科技创新提升、数字化改革等文章。助力浙江完成全球先进制造业基地建设、做优做强数字经济等重要任务。</w:t>
      </w:r>
    </w:p>
    <w:p>
      <w:pPr>
        <w:pStyle w:val="3"/>
        <w:spacing w:line="560" w:lineRule="exact"/>
        <w:ind w:firstLine="632" w:firstLineChars="200"/>
        <w:rPr>
          <w:rFonts w:ascii="仿宋_GB2312" w:hAnsi="仿宋_GB2312"/>
          <w:bCs w:val="0"/>
          <w:sz w:val="32"/>
        </w:rPr>
      </w:pPr>
      <w:r>
        <w:rPr>
          <w:rFonts w:hint="eastAsia" w:ascii="仿宋_GB2312" w:hAnsi="仿宋_GB2312"/>
          <w:b/>
          <w:sz w:val="32"/>
        </w:rPr>
        <w:t>——温州都市区建设全面深入实施的新机遇。</w:t>
      </w:r>
      <w:r>
        <w:rPr>
          <w:rFonts w:hint="eastAsia" w:ascii="仿宋_GB2312" w:hAnsi="仿宋_GB2312"/>
          <w:bCs w:val="0"/>
          <w:sz w:val="32"/>
        </w:rPr>
        <w:t>“十四五”时期是温州加快建设“我国东南沿海重要商贸城市和区域中心城市、全国性综合交通枢纽”的重要历史机遇期。城市空间形态向都市区经济、湾区经济提升发展，城市东拓进入全面加速期，瓯洞一体化高位推进。我区应联动温州综合保税区、跨境电商综合实验区、自贸区联动创新区等高能级平台，推进区域跨越式发展，推动工业与科技、信息化联动升级，为甬台温临港产业示范基地建设基础。</w:t>
      </w:r>
    </w:p>
    <w:p>
      <w:pPr>
        <w:pStyle w:val="3"/>
        <w:spacing w:line="560" w:lineRule="exact"/>
        <w:ind w:firstLine="632" w:firstLineChars="200"/>
        <w:outlineLvl w:val="2"/>
        <w:rPr>
          <w:rFonts w:ascii="仿宋_GB2312" w:hAnsi="仿宋_GB2312"/>
          <w:b/>
          <w:sz w:val="32"/>
        </w:rPr>
      </w:pPr>
      <w:r>
        <w:rPr>
          <w:rFonts w:hint="eastAsia" w:ascii="仿宋_GB2312" w:hAnsi="仿宋_GB2312"/>
          <w:b/>
          <w:sz w:val="32"/>
        </w:rPr>
        <w:t>2.发展面临的新挑战</w:t>
      </w:r>
    </w:p>
    <w:p>
      <w:pPr>
        <w:pStyle w:val="3"/>
        <w:spacing w:line="560" w:lineRule="exact"/>
        <w:ind w:firstLine="632" w:firstLineChars="200"/>
        <w:rPr>
          <w:rFonts w:ascii="仿宋_GB2312" w:hAnsi="仿宋_GB2312"/>
          <w:bCs w:val="0"/>
          <w:sz w:val="32"/>
        </w:rPr>
      </w:pPr>
      <w:r>
        <w:rPr>
          <w:rFonts w:hint="eastAsia" w:ascii="仿宋_GB2312" w:hAnsi="仿宋_GB2312"/>
          <w:b/>
          <w:sz w:val="32"/>
        </w:rPr>
        <w:t>——全球贸易摩擦常态化带来的新挑战。</w:t>
      </w:r>
      <w:r>
        <w:rPr>
          <w:rFonts w:hint="eastAsia" w:ascii="仿宋_GB2312" w:hAnsi="仿宋_GB2312"/>
          <w:bCs w:val="0"/>
          <w:sz w:val="32"/>
        </w:rPr>
        <w:t>近年来，随着贸易保护主义抬头和贸易摩擦常态化改变了外部的经济环境，充满不确定性的国际环境给区域经济发展带来了风险，也给中国制造业参与全球价值链分工带来了新挑战。在贸易摩擦常态化趋势下，政府、企业在相应的应对机制、人才储备等方面面临着新一轮挑战。</w:t>
      </w:r>
    </w:p>
    <w:p>
      <w:pPr>
        <w:pStyle w:val="3"/>
        <w:spacing w:line="560" w:lineRule="exact"/>
        <w:ind w:firstLine="632" w:firstLineChars="200"/>
        <w:rPr>
          <w:rFonts w:ascii="仿宋_GB2312" w:hAnsi="仿宋_GB2312"/>
          <w:sz w:val="32"/>
        </w:rPr>
      </w:pPr>
      <w:r>
        <w:rPr>
          <w:rFonts w:hint="eastAsia" w:ascii="仿宋_GB2312" w:hAnsi="仿宋_GB2312"/>
          <w:b/>
          <w:sz w:val="32"/>
        </w:rPr>
        <w:t>——疫情背景下市场竞争加剧带来的新挑战。</w:t>
      </w:r>
      <w:r>
        <w:rPr>
          <w:rFonts w:hint="eastAsia" w:ascii="仿宋_GB2312" w:hAnsi="仿宋_GB2312"/>
          <w:bCs w:val="0"/>
          <w:sz w:val="32"/>
        </w:rPr>
        <w:t>随着新冠肺炎疫情的爆发和全球性波及，国内外经济环境发生重要变化，根据疫情的反复复发情况，余波将在“十四五”期间延续震荡。少人化和柔性生产的发展趋势，对工业高质量发展提出了更高层次的要求。洞头现有产业目前相对优势仍主要集中在劳动力成本低、准入门槛低等因素之上，增值率和利润率低且产品附加价值不高。企业自身自主知识产权意识相对弱且受家族企业经营模式限制，核心专利技术比较少，知名品牌缺乏，与国内外优质企业仍有一定的差距，同类型产品在国内外市场上竞争力较弱。</w:t>
      </w:r>
    </w:p>
    <w:p>
      <w:pPr>
        <w:pStyle w:val="3"/>
        <w:spacing w:line="560" w:lineRule="exact"/>
        <w:ind w:firstLine="632" w:firstLineChars="200"/>
        <w:rPr>
          <w:rFonts w:ascii="Times New Roman" w:hAnsi="Times New Roman" w:cstheme="minorBidi"/>
          <w:bCs w:val="0"/>
          <w:sz w:val="32"/>
          <w:szCs w:val="22"/>
        </w:rPr>
      </w:pPr>
      <w:r>
        <w:rPr>
          <w:rFonts w:hint="eastAsia" w:ascii="仿宋_GB2312" w:hAnsi="仿宋_GB2312"/>
          <w:b/>
          <w:sz w:val="32"/>
        </w:rPr>
        <w:t>——区域内多种要素制约带来的新挑战。</w:t>
      </w:r>
      <w:r>
        <w:rPr>
          <w:rFonts w:hint="eastAsia" w:ascii="仿宋_GB2312" w:hAnsi="仿宋_GB2312"/>
          <w:bCs w:val="0"/>
          <w:sz w:val="32"/>
        </w:rPr>
        <w:t>洞头作为海岛，在用地储备方面其自身的工业用地存量相较鹿城、瓯海、龙湾更为稀缺，企业面临“用地难”问题较为突出。受地理因素限制，洞头在交通体系中处于路网末梢，产业统筹发展融入区域一体化进程滞后。受高端人才缺乏影响无法有效助推企业向高层次发展，在生态环境保护政策的高压之下，企业转型需要技术、人才和资金多维支撑。在多种要素和生态环境的共同制约之下，本土企业可持续发展压力大，部分企业为应对发展需求选择外流。</w:t>
      </w:r>
    </w:p>
    <w:p>
      <w:pPr>
        <w:pStyle w:val="5"/>
        <w:spacing w:line="560" w:lineRule="exact"/>
        <w:ind w:firstLine="632" w:firstLineChars="200"/>
        <w:jc w:val="both"/>
        <w:rPr>
          <w:rFonts w:ascii="黑体" w:hAnsi="黑体" w:eastAsia="黑体" w:cstheme="minorBidi"/>
          <w:b w:val="0"/>
          <w:sz w:val="32"/>
          <w:lang w:val="en-US"/>
        </w:rPr>
      </w:pPr>
      <w:bookmarkStart w:id="28" w:name="_Toc1223743334"/>
      <w:bookmarkStart w:id="29" w:name="_Toc4366"/>
      <w:bookmarkStart w:id="30" w:name="_Toc27882"/>
      <w:bookmarkStart w:id="31" w:name="_Toc24851"/>
      <w:bookmarkStart w:id="32" w:name="_Toc29315"/>
      <w:bookmarkStart w:id="33" w:name="_Toc14012"/>
      <w:r>
        <w:rPr>
          <w:rFonts w:hint="eastAsia" w:ascii="黑体" w:hAnsi="黑体" w:eastAsia="黑体" w:cstheme="minorBidi"/>
          <w:b w:val="0"/>
          <w:sz w:val="32"/>
          <w:lang w:val="en-US"/>
        </w:rPr>
        <w:t>二、总体思路及发展目标</w:t>
      </w:r>
      <w:bookmarkEnd w:id="28"/>
      <w:bookmarkEnd w:id="29"/>
      <w:bookmarkEnd w:id="30"/>
      <w:bookmarkEnd w:id="31"/>
      <w:bookmarkEnd w:id="32"/>
      <w:bookmarkEnd w:id="33"/>
    </w:p>
    <w:p>
      <w:pPr>
        <w:pStyle w:val="6"/>
        <w:spacing w:before="0" w:after="0" w:line="560" w:lineRule="exact"/>
        <w:ind w:firstLine="632" w:firstLineChars="200"/>
        <w:rPr>
          <w:rFonts w:ascii="楷体" w:hAnsi="楷体" w:eastAsia="楷体" w:cs="楷体"/>
          <w:b w:val="0"/>
          <w:bCs w:val="0"/>
        </w:rPr>
      </w:pPr>
      <w:bookmarkStart w:id="34" w:name="_Toc1003327219"/>
      <w:bookmarkStart w:id="35" w:name="_Toc13235"/>
      <w:bookmarkStart w:id="36" w:name="_Toc7025"/>
      <w:bookmarkStart w:id="37" w:name="_Toc24925"/>
      <w:bookmarkStart w:id="38" w:name="_Toc31724"/>
      <w:bookmarkStart w:id="39" w:name="_Toc3424"/>
      <w:r>
        <w:rPr>
          <w:rFonts w:hint="eastAsia" w:ascii="楷体" w:hAnsi="楷体" w:eastAsia="楷体" w:cs="楷体"/>
          <w:b w:val="0"/>
          <w:bCs w:val="0"/>
        </w:rPr>
        <w:t>（一）指导思想</w:t>
      </w:r>
      <w:bookmarkEnd w:id="34"/>
      <w:bookmarkEnd w:id="35"/>
      <w:bookmarkEnd w:id="36"/>
      <w:bookmarkEnd w:id="37"/>
      <w:bookmarkEnd w:id="38"/>
      <w:bookmarkEnd w:id="39"/>
    </w:p>
    <w:p>
      <w:pPr>
        <w:pStyle w:val="3"/>
        <w:spacing w:line="560" w:lineRule="exact"/>
        <w:ind w:firstLine="632" w:firstLineChars="200"/>
        <w:rPr>
          <w:rFonts w:ascii="仿宋_GB2312" w:hAnsi="仿宋_GB2312"/>
          <w:bCs w:val="0"/>
          <w:sz w:val="32"/>
        </w:rPr>
      </w:pPr>
      <w:r>
        <w:rPr>
          <w:rFonts w:hint="eastAsia" w:ascii="仿宋_GB2312" w:hAnsi="仿宋_GB2312"/>
          <w:bCs w:val="0"/>
          <w:sz w:val="32"/>
        </w:rPr>
        <w:t>“十四五”期间，坚持“国际旅游岛、临港产业岛、生命健康岛、科技创新岛、两岸同心岛”五岛定位，围绕“双区集群，一港联动，多点发展”</w:t>
      </w:r>
      <w:r>
        <w:rPr>
          <w:rFonts w:hint="eastAsia"/>
          <w:sz w:val="32"/>
        </w:rPr>
        <w:t>空间格局，</w:t>
      </w:r>
      <w:r>
        <w:rPr>
          <w:rFonts w:hint="eastAsia" w:ascii="仿宋_GB2312" w:hAnsi="仿宋_GB2312"/>
          <w:bCs w:val="0"/>
          <w:sz w:val="32"/>
        </w:rPr>
        <w:t>紧跟“七大万亿级产业”发展方向，发挥“四新经济”核心力量，锚定“千亿级产业园”中远期目标与“打造辐射全省的海洋科技创新策源地”战略定位，坚持“双轮”驱动，加快产业结构优化、空间布局优化及创新能力、数字能力提升，促进工业、科技信息化协同发展。围绕洞头区工业、科技和信息化“1+2+3”高质量发展目标，加快形成绿色石化、海洋能源、海洋生物医药、海洋装备制造等为特色的现代海洋产业集群，构建生态型现代海洋产业体系，</w:t>
      </w:r>
      <w:r>
        <w:rPr>
          <w:rFonts w:hint="eastAsia" w:cs="仿宋"/>
          <w:sz w:val="32"/>
        </w:rPr>
        <w:t>积极培育参与区域海洋科技竞争的新优势，支持高质量建设海上花园，</w:t>
      </w:r>
      <w:r>
        <w:rPr>
          <w:rFonts w:hint="eastAsia" w:ascii="仿宋_GB2312" w:hAnsi="仿宋_GB2312"/>
          <w:bCs w:val="0"/>
          <w:sz w:val="32"/>
        </w:rPr>
        <w:t>高能级打造全国海洋新兴产业发展示范区与浙江省大湾区临港产业新增长极。</w:t>
      </w:r>
    </w:p>
    <w:tbl>
      <w:tblPr>
        <w:tblStyle w:val="20"/>
        <w:tblW w:w="0" w:type="auto"/>
        <w:jc w:val="center"/>
        <w:tblBorders>
          <w:top w:val="single" w:color="7030A0" w:sz="18" w:space="0"/>
          <w:left w:val="single" w:color="7030A0" w:sz="18" w:space="0"/>
          <w:bottom w:val="single" w:color="7030A0" w:sz="18" w:space="0"/>
          <w:right w:val="single" w:color="7030A0" w:sz="1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7030A0" w:sz="18" w:space="0"/>
            <w:left w:val="single" w:color="7030A0" w:sz="18" w:space="0"/>
            <w:bottom w:val="single" w:color="7030A0" w:sz="18" w:space="0"/>
            <w:right w:val="single" w:color="7030A0" w:sz="18" w:space="0"/>
            <w:insideH w:val="none" w:color="auto" w:sz="0" w:space="0"/>
            <w:insideV w:val="none" w:color="auto" w:sz="0" w:space="0"/>
          </w:tblBorders>
          <w:tblCellMar>
            <w:top w:w="0" w:type="dxa"/>
            <w:left w:w="108" w:type="dxa"/>
            <w:bottom w:w="0" w:type="dxa"/>
            <w:right w:w="108" w:type="dxa"/>
          </w:tblCellMar>
        </w:tblPrEx>
        <w:trPr>
          <w:jc w:val="center"/>
        </w:trPr>
        <w:tc>
          <w:tcPr>
            <w:tcW w:w="8522" w:type="dxa"/>
            <w:tcBorders>
              <w:top w:val="single" w:color="7030A0" w:sz="18" w:space="0"/>
              <w:bottom w:val="single" w:color="7030A0" w:sz="18" w:space="0"/>
            </w:tcBorders>
          </w:tcPr>
          <w:p>
            <w:pPr>
              <w:widowControl/>
              <w:snapToGrid w:val="0"/>
              <w:jc w:val="center"/>
              <w:rPr>
                <w:rFonts w:eastAsia="黑体"/>
                <w:bCs/>
                <w:sz w:val="24"/>
                <w:szCs w:val="24"/>
              </w:rPr>
            </w:pPr>
            <w:r>
              <w:rPr>
                <w:rFonts w:hint="eastAsia" w:eastAsia="黑体"/>
                <w:bCs/>
                <w:sz w:val="24"/>
                <w:szCs w:val="24"/>
              </w:rPr>
              <w:t>专栏1：深化五岛建设，助推海洋经济高质量发展体系打造</w:t>
            </w:r>
          </w:p>
          <w:p>
            <w:pPr>
              <w:overflowPunct w:val="0"/>
              <w:autoSpaceDE w:val="0"/>
              <w:autoSpaceDN w:val="0"/>
              <w:snapToGrid w:val="0"/>
              <w:ind w:firstLine="472" w:firstLineChars="200"/>
              <w:textAlignment w:val="baseline"/>
              <w:rPr>
                <w:rFonts w:ascii="Times New Roman" w:hAnsi="Times New Roman"/>
                <w:sz w:val="24"/>
                <w:szCs w:val="24"/>
              </w:rPr>
            </w:pPr>
            <w:r>
              <w:rPr>
                <w:rFonts w:hint="eastAsia" w:ascii="Times New Roman" w:hAnsi="Times New Roman"/>
                <w:b/>
                <w:bCs/>
                <w:sz w:val="24"/>
                <w:szCs w:val="24"/>
              </w:rPr>
              <w:t>1.国际旅游岛：</w:t>
            </w:r>
            <w:r>
              <w:rPr>
                <w:rFonts w:hint="eastAsia" w:ascii="Times New Roman" w:hAnsi="Times New Roman"/>
                <w:sz w:val="24"/>
                <w:szCs w:val="24"/>
              </w:rPr>
              <w:t>围绕“一环三片多主题”全域旅游空间布局，充分开发开发渔业生产潜能，依托大门鹿西协同发展区打造“工业+旅游”新业态，开发独具特色的临港旅游资源，并融入鹿西岛渔港、渔村、海洋牧场等生态旅游资源，打造“工渔旅”融合发展旅游模式，助推高品质国际旅游岛建设。</w:t>
            </w:r>
          </w:p>
          <w:p>
            <w:pPr>
              <w:overflowPunct w:val="0"/>
              <w:autoSpaceDE w:val="0"/>
              <w:autoSpaceDN w:val="0"/>
              <w:snapToGrid w:val="0"/>
              <w:ind w:firstLine="472" w:firstLineChars="200"/>
              <w:textAlignment w:val="baseline"/>
              <w:rPr>
                <w:rFonts w:ascii="Times New Roman" w:hAnsi="Times New Roman"/>
                <w:sz w:val="24"/>
                <w:szCs w:val="24"/>
              </w:rPr>
            </w:pPr>
            <w:r>
              <w:rPr>
                <w:rFonts w:hint="eastAsia" w:ascii="Times New Roman" w:hAnsi="Times New Roman"/>
                <w:b/>
                <w:bCs/>
                <w:sz w:val="24"/>
                <w:szCs w:val="24"/>
              </w:rPr>
              <w:t>2.临港产业岛：</w:t>
            </w:r>
            <w:r>
              <w:rPr>
                <w:rFonts w:ascii="Times New Roman" w:hAnsi="Times New Roman"/>
                <w:sz w:val="24"/>
                <w:szCs w:val="24"/>
              </w:rPr>
              <w:t>紧扣长三角一体化及综保区、自贸区联动创新区、国家海洋经济发展示范区发展机遇，构建以绿色石化、传统制造业、港航物流为重点的临港产业体系</w:t>
            </w:r>
            <w:r>
              <w:rPr>
                <w:rFonts w:hint="eastAsia" w:ascii="Times New Roman" w:hAnsi="Times New Roman"/>
                <w:sz w:val="24"/>
                <w:szCs w:val="24"/>
              </w:rPr>
              <w:t>。推进大小门绿色石化园区、海洋经济产业园、状元岙港区的数字化、信息化建设，</w:t>
            </w:r>
            <w:r>
              <w:rPr>
                <w:rFonts w:ascii="Times New Roman" w:hAnsi="Times New Roman"/>
                <w:sz w:val="24"/>
                <w:szCs w:val="24"/>
              </w:rPr>
              <w:t>构建现代化临港产业平台</w:t>
            </w:r>
            <w:r>
              <w:rPr>
                <w:rFonts w:hint="eastAsia" w:ascii="Times New Roman" w:hAnsi="Times New Roman"/>
                <w:sz w:val="24"/>
                <w:szCs w:val="24"/>
              </w:rPr>
              <w:t>。</w:t>
            </w:r>
            <w:r>
              <w:rPr>
                <w:rFonts w:ascii="Times New Roman" w:hAnsi="Times New Roman"/>
                <w:sz w:val="24"/>
                <w:szCs w:val="24"/>
              </w:rPr>
              <w:t>建设浙南临港产业升级发展示范区。</w:t>
            </w:r>
          </w:p>
          <w:p>
            <w:pPr>
              <w:overflowPunct w:val="0"/>
              <w:autoSpaceDE w:val="0"/>
              <w:autoSpaceDN w:val="0"/>
              <w:snapToGrid w:val="0"/>
              <w:ind w:firstLine="472" w:firstLineChars="200"/>
              <w:textAlignment w:val="baseline"/>
              <w:rPr>
                <w:rFonts w:ascii="Times New Roman" w:hAnsi="Times New Roman"/>
                <w:sz w:val="24"/>
                <w:szCs w:val="24"/>
              </w:rPr>
            </w:pPr>
            <w:r>
              <w:rPr>
                <w:rFonts w:hint="eastAsia" w:ascii="Times New Roman" w:hAnsi="Times New Roman"/>
                <w:b/>
                <w:bCs/>
                <w:sz w:val="24"/>
                <w:szCs w:val="24"/>
              </w:rPr>
              <w:t>3.</w:t>
            </w:r>
            <w:r>
              <w:rPr>
                <w:rFonts w:ascii="Times New Roman" w:hAnsi="Times New Roman"/>
                <w:b/>
                <w:bCs/>
                <w:sz w:val="24"/>
                <w:szCs w:val="24"/>
              </w:rPr>
              <w:t>生命健康岛</w:t>
            </w:r>
            <w:r>
              <w:rPr>
                <w:rFonts w:hint="eastAsia" w:ascii="Times New Roman" w:hAnsi="Times New Roman"/>
                <w:b/>
                <w:bCs/>
                <w:sz w:val="24"/>
                <w:szCs w:val="24"/>
              </w:rPr>
              <w:t>：</w:t>
            </w:r>
            <w:r>
              <w:rPr>
                <w:rFonts w:hint="eastAsia" w:ascii="Times New Roman" w:hAnsi="Times New Roman"/>
                <w:sz w:val="24"/>
                <w:szCs w:val="24"/>
              </w:rPr>
              <w:t>加强诚意大健康研究院与长三角地区知名高校的战略合作，建设诚意药业健康产业园，鼓励产业园与国内外相关医药企业合作生产高端医药产品。加大“两菜一鱼”研发投入，构建海洋生物膳食品、保健品到医药品的全产业链开发模式，推进产学研一体化海洋生物医药产业发展。</w:t>
            </w:r>
          </w:p>
          <w:p>
            <w:pPr>
              <w:overflowPunct w:val="0"/>
              <w:autoSpaceDE w:val="0"/>
              <w:autoSpaceDN w:val="0"/>
              <w:snapToGrid w:val="0"/>
              <w:ind w:firstLine="472" w:firstLineChars="200"/>
              <w:textAlignment w:val="baseline"/>
              <w:rPr>
                <w:rFonts w:ascii="Times New Roman" w:hAnsi="Times New Roman"/>
                <w:sz w:val="24"/>
                <w:szCs w:val="24"/>
              </w:rPr>
            </w:pPr>
            <w:r>
              <w:rPr>
                <w:rFonts w:hint="eastAsia" w:ascii="Times New Roman" w:hAnsi="Times New Roman"/>
                <w:b/>
                <w:bCs/>
                <w:sz w:val="24"/>
                <w:szCs w:val="24"/>
              </w:rPr>
              <w:t>4.</w:t>
            </w:r>
            <w:r>
              <w:rPr>
                <w:rFonts w:ascii="Times New Roman" w:hAnsi="Times New Roman"/>
                <w:b/>
                <w:bCs/>
                <w:sz w:val="24"/>
                <w:szCs w:val="24"/>
              </w:rPr>
              <w:t>科技创新岛</w:t>
            </w:r>
            <w:r>
              <w:rPr>
                <w:rFonts w:hint="eastAsia" w:ascii="Times New Roman" w:hAnsi="Times New Roman"/>
                <w:b/>
                <w:bCs/>
                <w:sz w:val="24"/>
                <w:szCs w:val="24"/>
              </w:rPr>
              <w:t>：</w:t>
            </w:r>
            <w:r>
              <w:rPr>
                <w:rFonts w:hint="eastAsia" w:ascii="Times New Roman" w:hAnsi="Times New Roman"/>
                <w:sz w:val="24"/>
                <w:szCs w:val="24"/>
              </w:rPr>
              <w:t>全力实施“1618”工程建设，承接温州市“一区一廊一会一室”溢出效应，打造科技创新岛。建设“六大”科技创新平台，深化区域政产学研深度合作，引进中科院南海海洋研究所、中科院上海药物研究所和浙江大学等18个涉海高校院所海洋科技创新高端智源。</w:t>
            </w:r>
          </w:p>
          <w:p>
            <w:pPr>
              <w:overflowPunct w:val="0"/>
              <w:autoSpaceDE w:val="0"/>
              <w:autoSpaceDN w:val="0"/>
              <w:snapToGrid w:val="0"/>
              <w:ind w:firstLine="472" w:firstLineChars="200"/>
              <w:textAlignment w:val="baseline"/>
              <w:rPr>
                <w:rFonts w:cs="Times New Roman"/>
                <w:sz w:val="30"/>
                <w:szCs w:val="30"/>
              </w:rPr>
            </w:pPr>
            <w:r>
              <w:rPr>
                <w:rFonts w:hint="eastAsia" w:ascii="Times New Roman" w:hAnsi="Times New Roman"/>
                <w:b/>
                <w:bCs/>
                <w:sz w:val="24"/>
                <w:szCs w:val="24"/>
              </w:rPr>
              <w:t>5.两岸同心岛：</w:t>
            </w:r>
            <w:r>
              <w:rPr>
                <w:rFonts w:hint="eastAsia" w:ascii="Times New Roman" w:hAnsi="Times New Roman"/>
                <w:sz w:val="24"/>
                <w:szCs w:val="24"/>
              </w:rPr>
              <w:t>坚持以“五个同心”为发展导向，树立“三位一体”建设思路，主动承接长三角、海西区等地台资企业转移。聚焦生命健康、智能制造等领域，组织实施台湾重点企业招引计划，建立外洞商商会与台湾商协会合作联盟，支持民营企业对台资金、技术、人才合作。</w:t>
            </w:r>
          </w:p>
        </w:tc>
      </w:tr>
      <w:tr>
        <w:tblPrEx>
          <w:tblBorders>
            <w:top w:val="single" w:color="7030A0" w:sz="18" w:space="0"/>
            <w:left w:val="single" w:color="7030A0" w:sz="18" w:space="0"/>
            <w:bottom w:val="single" w:color="7030A0" w:sz="18" w:space="0"/>
            <w:right w:val="single" w:color="7030A0" w:sz="18" w:space="0"/>
            <w:insideH w:val="none" w:color="auto" w:sz="0" w:space="0"/>
            <w:insideV w:val="none" w:color="auto" w:sz="0" w:space="0"/>
          </w:tblBorders>
          <w:tblCellMar>
            <w:top w:w="0" w:type="dxa"/>
            <w:left w:w="108" w:type="dxa"/>
            <w:bottom w:w="0" w:type="dxa"/>
            <w:right w:w="108" w:type="dxa"/>
          </w:tblCellMar>
        </w:tblPrEx>
        <w:trPr>
          <w:jc w:val="center"/>
        </w:trPr>
        <w:tc>
          <w:tcPr>
            <w:tcW w:w="8522" w:type="dxa"/>
            <w:tcBorders>
              <w:top w:val="single" w:color="7030A0" w:sz="18" w:space="0"/>
              <w:bottom w:val="single" w:color="7030A0" w:sz="18" w:space="0"/>
            </w:tcBorders>
          </w:tcPr>
          <w:p>
            <w:pPr>
              <w:widowControl/>
              <w:snapToGrid w:val="0"/>
              <w:jc w:val="center"/>
              <w:rPr>
                <w:rFonts w:eastAsia="黑体"/>
                <w:bCs/>
                <w:sz w:val="24"/>
                <w:szCs w:val="24"/>
              </w:rPr>
            </w:pPr>
            <w:bookmarkStart w:id="40" w:name="_Toc7560"/>
            <w:bookmarkStart w:id="41" w:name="_Toc9724"/>
            <w:bookmarkStart w:id="42" w:name="_Toc878973489"/>
            <w:bookmarkStart w:id="43" w:name="_Toc16375"/>
            <w:r>
              <w:rPr>
                <w:rFonts w:hint="eastAsia" w:eastAsia="黑体"/>
                <w:bCs/>
                <w:sz w:val="24"/>
                <w:szCs w:val="24"/>
              </w:rPr>
              <w:t>专栏2：洞头区工业、科技和信息化“1+2+3”高质量发展目标</w:t>
            </w:r>
          </w:p>
          <w:p>
            <w:pPr>
              <w:overflowPunct w:val="0"/>
              <w:autoSpaceDE w:val="0"/>
              <w:autoSpaceDN w:val="0"/>
              <w:snapToGrid w:val="0"/>
              <w:textAlignment w:val="baseline"/>
              <w:rPr>
                <w:rFonts w:ascii="Times New Roman" w:hAnsi="Times New Roman"/>
                <w:sz w:val="24"/>
                <w:szCs w:val="24"/>
              </w:rPr>
            </w:pPr>
            <w:r>
              <w:rPr>
                <w:rFonts w:ascii="Times New Roman" w:hAnsi="Times New Roman"/>
                <w:b/>
                <w:bCs/>
                <w:sz w:val="24"/>
                <w:szCs w:val="24"/>
              </w:rPr>
              <w:t>“</w:t>
            </w:r>
            <w:r>
              <w:rPr>
                <w:rFonts w:hint="eastAsia" w:ascii="Times New Roman" w:hAnsi="Times New Roman"/>
                <w:b/>
                <w:bCs/>
                <w:sz w:val="24"/>
                <w:szCs w:val="24"/>
              </w:rPr>
              <w:t>1</w:t>
            </w:r>
            <w:r>
              <w:rPr>
                <w:rFonts w:ascii="Times New Roman" w:hAnsi="Times New Roman"/>
                <w:b/>
                <w:bCs/>
                <w:sz w:val="24"/>
                <w:szCs w:val="24"/>
              </w:rPr>
              <w:t>”</w:t>
            </w:r>
            <w:r>
              <w:rPr>
                <w:rFonts w:hint="eastAsia" w:ascii="Times New Roman" w:hAnsi="Times New Roman"/>
                <w:b/>
                <w:bCs/>
                <w:sz w:val="24"/>
                <w:szCs w:val="24"/>
              </w:rPr>
              <w:t>:</w:t>
            </w:r>
            <w:r>
              <w:rPr>
                <w:rFonts w:hint="eastAsia" w:ascii="Times New Roman" w:hAnsi="Times New Roman"/>
                <w:sz w:val="24"/>
                <w:szCs w:val="24"/>
              </w:rPr>
              <w:t>实现一个总目标，即全区规上工业总产值突破85亿元、规上工业增加值突破15亿。</w:t>
            </w:r>
          </w:p>
          <w:p>
            <w:pPr>
              <w:overflowPunct w:val="0"/>
              <w:autoSpaceDE w:val="0"/>
              <w:autoSpaceDN w:val="0"/>
              <w:snapToGrid w:val="0"/>
              <w:textAlignment w:val="baseline"/>
              <w:rPr>
                <w:rFonts w:ascii="Times New Roman" w:hAnsi="Times New Roman"/>
                <w:sz w:val="24"/>
                <w:szCs w:val="24"/>
              </w:rPr>
            </w:pPr>
            <w:r>
              <w:rPr>
                <w:rFonts w:ascii="Times New Roman" w:hAnsi="Times New Roman"/>
                <w:b/>
                <w:bCs/>
                <w:sz w:val="24"/>
                <w:szCs w:val="24"/>
              </w:rPr>
              <w:t>“</w:t>
            </w:r>
            <w:r>
              <w:rPr>
                <w:rFonts w:hint="eastAsia" w:ascii="Times New Roman" w:hAnsi="Times New Roman"/>
                <w:b/>
                <w:bCs/>
                <w:sz w:val="24"/>
                <w:szCs w:val="24"/>
              </w:rPr>
              <w:t>2</w:t>
            </w:r>
            <w:r>
              <w:rPr>
                <w:rFonts w:ascii="Times New Roman" w:hAnsi="Times New Roman"/>
                <w:b/>
                <w:bCs/>
                <w:sz w:val="24"/>
                <w:szCs w:val="24"/>
              </w:rPr>
              <w:t>”</w:t>
            </w:r>
            <w:r>
              <w:rPr>
                <w:rFonts w:hint="eastAsia" w:ascii="Times New Roman" w:hAnsi="Times New Roman"/>
                <w:b/>
                <w:bCs/>
                <w:sz w:val="24"/>
                <w:szCs w:val="24"/>
              </w:rPr>
              <w:t>:</w:t>
            </w:r>
            <w:r>
              <w:rPr>
                <w:rFonts w:hint="eastAsia" w:ascii="Times New Roman" w:hAnsi="Times New Roman"/>
                <w:sz w:val="24"/>
                <w:szCs w:val="24"/>
              </w:rPr>
              <w:t>重点推进两大产业平台高质量发展，即大小门石化产业基地和海洋经济产业园两大产业平台。</w:t>
            </w:r>
          </w:p>
          <w:p>
            <w:pPr>
              <w:overflowPunct w:val="0"/>
              <w:autoSpaceDE w:val="0"/>
              <w:autoSpaceDN w:val="0"/>
              <w:snapToGrid w:val="0"/>
              <w:textAlignment w:val="baseline"/>
              <w:rPr>
                <w:rFonts w:ascii="Times New Roman" w:hAnsi="Times New Roman"/>
                <w:b/>
                <w:bCs/>
                <w:sz w:val="24"/>
                <w:szCs w:val="24"/>
              </w:rPr>
            </w:pPr>
            <w:r>
              <w:rPr>
                <w:rFonts w:ascii="Times New Roman" w:hAnsi="Times New Roman"/>
                <w:b/>
                <w:bCs/>
                <w:sz w:val="24"/>
                <w:szCs w:val="24"/>
              </w:rPr>
              <w:t>“</w:t>
            </w:r>
            <w:r>
              <w:rPr>
                <w:rFonts w:hint="eastAsia" w:ascii="Times New Roman" w:hAnsi="Times New Roman"/>
                <w:b/>
                <w:bCs/>
                <w:sz w:val="24"/>
                <w:szCs w:val="24"/>
              </w:rPr>
              <w:t>3</w:t>
            </w:r>
            <w:r>
              <w:rPr>
                <w:rFonts w:ascii="Times New Roman" w:hAnsi="Times New Roman"/>
                <w:b/>
                <w:bCs/>
                <w:sz w:val="24"/>
                <w:szCs w:val="24"/>
              </w:rPr>
              <w:t>”</w:t>
            </w:r>
            <w:r>
              <w:rPr>
                <w:rFonts w:hint="eastAsia" w:ascii="Times New Roman" w:hAnsi="Times New Roman"/>
                <w:b/>
                <w:bCs/>
                <w:sz w:val="24"/>
                <w:szCs w:val="24"/>
              </w:rPr>
              <w:t>:</w:t>
            </w:r>
            <w:r>
              <w:rPr>
                <w:rFonts w:hint="eastAsia" w:ascii="Times New Roman" w:hAnsi="Times New Roman"/>
                <w:sz w:val="24"/>
                <w:szCs w:val="24"/>
              </w:rPr>
              <w:t>着力引导三大板块高水平协同发展，即传统产业、海洋新兴产业两大板块与科技、信息化板块。</w:t>
            </w:r>
          </w:p>
        </w:tc>
      </w:tr>
    </w:tbl>
    <w:p>
      <w:pPr>
        <w:pStyle w:val="6"/>
        <w:spacing w:before="0" w:after="0" w:line="560" w:lineRule="exact"/>
        <w:ind w:firstLine="632" w:firstLineChars="200"/>
        <w:rPr>
          <w:rFonts w:ascii="楷体" w:hAnsi="楷体" w:eastAsia="楷体" w:cs="楷体"/>
          <w:b w:val="0"/>
          <w:bCs w:val="0"/>
        </w:rPr>
      </w:pPr>
      <w:bookmarkStart w:id="44" w:name="_Toc13187"/>
      <w:bookmarkStart w:id="45" w:name="_Toc20465"/>
      <w:r>
        <w:rPr>
          <w:rFonts w:hint="eastAsia" w:ascii="楷体" w:hAnsi="楷体" w:eastAsia="楷体" w:cs="楷体"/>
          <w:b w:val="0"/>
          <w:bCs w:val="0"/>
        </w:rPr>
        <w:t>（二）基本原则</w:t>
      </w:r>
      <w:bookmarkEnd w:id="40"/>
      <w:bookmarkEnd w:id="41"/>
      <w:bookmarkEnd w:id="42"/>
      <w:bookmarkEnd w:id="43"/>
      <w:bookmarkEnd w:id="44"/>
      <w:bookmarkEnd w:id="45"/>
    </w:p>
    <w:p>
      <w:pPr>
        <w:pStyle w:val="3"/>
        <w:spacing w:line="560" w:lineRule="exact"/>
        <w:ind w:firstLine="632" w:firstLineChars="200"/>
        <w:outlineLvl w:val="2"/>
        <w:rPr>
          <w:rFonts w:ascii="仿宋_GB2312" w:hAnsi="仿宋_GB2312"/>
          <w:bCs w:val="0"/>
          <w:sz w:val="32"/>
        </w:rPr>
      </w:pPr>
      <w:bookmarkStart w:id="46" w:name="_Toc19901"/>
      <w:bookmarkStart w:id="47" w:name="_Toc766087935"/>
      <w:bookmarkStart w:id="48" w:name="_Toc20252"/>
      <w:bookmarkStart w:id="49" w:name="_Toc367421910"/>
      <w:bookmarkStart w:id="50" w:name="_Toc11245"/>
      <w:bookmarkStart w:id="51" w:name="_Toc3823"/>
      <w:bookmarkStart w:id="52" w:name="_Toc18576"/>
      <w:bookmarkStart w:id="53" w:name="_Toc2051711615"/>
      <w:bookmarkStart w:id="54" w:name="_Toc28185"/>
      <w:r>
        <w:rPr>
          <w:rFonts w:hint="eastAsia" w:ascii="仿宋_GB2312" w:hAnsi="仿宋_GB2312"/>
          <w:b/>
          <w:sz w:val="32"/>
        </w:rPr>
        <w:t>1.坚持“双轮”驱动，实现产业协同</w:t>
      </w:r>
      <w:bookmarkEnd w:id="46"/>
      <w:bookmarkEnd w:id="47"/>
      <w:bookmarkEnd w:id="48"/>
      <w:r>
        <w:rPr>
          <w:rFonts w:hint="eastAsia" w:ascii="仿宋_GB2312" w:hAnsi="仿宋_GB2312"/>
          <w:b/>
          <w:sz w:val="32"/>
        </w:rPr>
        <w:t>发展。</w:t>
      </w:r>
      <w:r>
        <w:rPr>
          <w:rFonts w:hint="eastAsia" w:ascii="仿宋_GB2312" w:hAnsi="仿宋_GB2312"/>
          <w:bCs w:val="0"/>
          <w:sz w:val="32"/>
        </w:rPr>
        <w:t>依托洞头现传统产业发展基础和特色优势，推动传统产业链向高附加价值环节转移。同时，抢抓国家级海洋经济发展示范区建设窗口期，</w:t>
      </w:r>
      <w:r>
        <w:rPr>
          <w:rFonts w:ascii="Times New Roman" w:hAnsi="Times New Roman" w:cs="Times New Roman"/>
          <w:sz w:val="32"/>
        </w:rPr>
        <w:t>培育</w:t>
      </w:r>
      <w:r>
        <w:rPr>
          <w:rFonts w:hint="eastAsia" w:ascii="仿宋_GB2312" w:hAnsi="仿宋_GB2312"/>
          <w:bCs w:val="0"/>
          <w:sz w:val="32"/>
        </w:rPr>
        <w:t>海洋生物医药产业、海洋能源产业等海洋新兴产业，</w:t>
      </w:r>
      <w:r>
        <w:rPr>
          <w:rFonts w:hint="eastAsia" w:ascii="Times New Roman" w:hAnsi="Times New Roman" w:cs="Times New Roman"/>
          <w:sz w:val="32"/>
        </w:rPr>
        <w:t>通过“传统+新兴”的双轮驱动，实现产业协同效应</w:t>
      </w:r>
      <w:r>
        <w:rPr>
          <w:rFonts w:hint="eastAsia" w:ascii="仿宋_GB2312" w:hAnsi="仿宋_GB2312"/>
          <w:bCs w:val="0"/>
          <w:sz w:val="32"/>
        </w:rPr>
        <w:t>。</w:t>
      </w:r>
    </w:p>
    <w:p>
      <w:pPr>
        <w:pStyle w:val="3"/>
        <w:spacing w:line="560" w:lineRule="exact"/>
        <w:ind w:firstLine="632" w:firstLineChars="200"/>
        <w:outlineLvl w:val="2"/>
        <w:rPr>
          <w:rFonts w:ascii="仿宋_GB2312" w:hAnsi="仿宋_GB2312"/>
          <w:bCs w:val="0"/>
          <w:sz w:val="32"/>
        </w:rPr>
      </w:pPr>
      <w:r>
        <w:rPr>
          <w:rFonts w:hint="eastAsia" w:ascii="仿宋_GB2312" w:hAnsi="仿宋_GB2312"/>
          <w:b/>
          <w:sz w:val="32"/>
        </w:rPr>
        <w:t>2.坚持优化布局，实现产业集聚发展。</w:t>
      </w:r>
      <w:r>
        <w:rPr>
          <w:rFonts w:hint="eastAsia" w:ascii="仿宋_GB2312" w:hAnsi="仿宋_GB2312"/>
          <w:bCs w:val="0"/>
          <w:sz w:val="32"/>
        </w:rPr>
        <w:t>进一步推进“瓯洞一体化”、“大门—鹿西一体化”进程，依托状元岙港航物流深度开发，实现与周边区域高效接轨。以产业园区为载体，以项目为支撑，优化产业结构布局，延伸产业链、供应链辐射范围，促进产业聚集化、集约化和集群化发展。</w:t>
      </w:r>
    </w:p>
    <w:p>
      <w:pPr>
        <w:pStyle w:val="3"/>
        <w:spacing w:line="560" w:lineRule="exact"/>
        <w:ind w:firstLine="632" w:firstLineChars="200"/>
        <w:outlineLvl w:val="2"/>
        <w:rPr>
          <w:rFonts w:ascii="仿宋_GB2312" w:hAnsi="仿宋_GB2312"/>
          <w:bCs w:val="0"/>
          <w:sz w:val="32"/>
        </w:rPr>
      </w:pPr>
      <w:r>
        <w:rPr>
          <w:rFonts w:hint="eastAsia" w:ascii="仿宋_GB2312" w:hAnsi="仿宋_GB2312"/>
          <w:b/>
          <w:sz w:val="32"/>
        </w:rPr>
        <w:t>3.坚持科技创新，实现</w:t>
      </w:r>
      <w:bookmarkEnd w:id="49"/>
      <w:bookmarkEnd w:id="50"/>
      <w:bookmarkEnd w:id="51"/>
      <w:r>
        <w:rPr>
          <w:rFonts w:hint="eastAsia" w:ascii="仿宋_GB2312" w:hAnsi="仿宋_GB2312"/>
          <w:b/>
          <w:sz w:val="32"/>
        </w:rPr>
        <w:t>产业数字化发展。</w:t>
      </w:r>
      <w:r>
        <w:rPr>
          <w:rFonts w:hint="eastAsia" w:ascii="仿宋_GB2312" w:hAnsi="仿宋_GB2312"/>
          <w:bCs w:val="0"/>
          <w:sz w:val="32"/>
        </w:rPr>
        <w:t>依托既有产业基础，结合创新平台建设，以科技创新为核心推动力，引领工业高质量发展。推动产学研深度融合，促进科技成果向现实生产力转化。增加科技投入，着力突破制约新型工业发展的关键技术。打造一批具有影响力和竞争力的品牌特色产业园区，发挥产业集聚效应，助推以研发、技术、服务、商业功能配套的生产性服务业发展。</w:t>
      </w:r>
    </w:p>
    <w:p>
      <w:pPr>
        <w:pStyle w:val="3"/>
        <w:spacing w:line="560" w:lineRule="exact"/>
        <w:ind w:firstLine="632" w:firstLineChars="200"/>
        <w:outlineLvl w:val="2"/>
        <w:rPr>
          <w:rFonts w:ascii="仿宋_GB2312" w:hAnsi="仿宋_GB2312"/>
          <w:bCs w:val="0"/>
          <w:sz w:val="32"/>
        </w:rPr>
      </w:pPr>
      <w:bookmarkStart w:id="55" w:name="_Toc1244556245"/>
      <w:bookmarkStart w:id="56" w:name="_Toc3820"/>
      <w:bookmarkStart w:id="57" w:name="_Toc18884"/>
      <w:r>
        <w:rPr>
          <w:rFonts w:hint="eastAsia" w:ascii="仿宋_GB2312" w:hAnsi="仿宋_GB2312"/>
          <w:b/>
          <w:sz w:val="32"/>
        </w:rPr>
        <w:t>4.坚持绿色低碳，实现产业生态</w:t>
      </w:r>
      <w:bookmarkEnd w:id="55"/>
      <w:bookmarkEnd w:id="56"/>
      <w:bookmarkEnd w:id="57"/>
      <w:r>
        <w:rPr>
          <w:rFonts w:hint="eastAsia" w:ascii="仿宋_GB2312" w:hAnsi="仿宋_GB2312"/>
          <w:b/>
          <w:sz w:val="32"/>
        </w:rPr>
        <w:t>化发展。</w:t>
      </w:r>
      <w:r>
        <w:rPr>
          <w:rFonts w:hint="eastAsia" w:ascii="仿宋_GB2312" w:hAnsi="仿宋_GB2312"/>
          <w:bCs w:val="0"/>
          <w:sz w:val="32"/>
        </w:rPr>
        <w:t>严格执行节约资源和保护环境的基本国策，坚持“生态保护红线、环境质量底线、资源利用上线”和环境准入负面清单的环境管理要求，落实绿色低碳循环发展理念，实现资源要素的优化配置。深入推进资源节约型、环境友好型的生态经济建设。</w:t>
      </w:r>
    </w:p>
    <w:p>
      <w:pPr>
        <w:pStyle w:val="3"/>
        <w:spacing w:line="560" w:lineRule="exact"/>
        <w:ind w:firstLine="632" w:firstLineChars="200"/>
        <w:outlineLvl w:val="2"/>
        <w:rPr>
          <w:rFonts w:ascii="仿宋_GB2312" w:hAnsi="仿宋_GB2312"/>
          <w:bCs w:val="0"/>
          <w:sz w:val="32"/>
        </w:rPr>
      </w:pPr>
      <w:bookmarkStart w:id="58" w:name="_Toc11448"/>
      <w:bookmarkStart w:id="59" w:name="_Toc1058850551"/>
      <w:bookmarkStart w:id="60" w:name="_Toc14049"/>
      <w:bookmarkStart w:id="61" w:name="_Toc1184"/>
      <w:bookmarkStart w:id="62" w:name="_Toc13480"/>
      <w:bookmarkStart w:id="63" w:name="_Toc1475459780"/>
      <w:r>
        <w:rPr>
          <w:rFonts w:hint="eastAsia" w:ascii="仿宋_GB2312" w:hAnsi="仿宋_GB2312"/>
          <w:b/>
          <w:sz w:val="32"/>
        </w:rPr>
        <w:t>5.坚持开放融合，实现“内外循环”</w:t>
      </w:r>
      <w:bookmarkEnd w:id="58"/>
      <w:bookmarkEnd w:id="59"/>
      <w:bookmarkEnd w:id="60"/>
      <w:r>
        <w:rPr>
          <w:rFonts w:hint="eastAsia" w:ascii="仿宋_GB2312" w:hAnsi="仿宋_GB2312"/>
          <w:b/>
          <w:sz w:val="32"/>
        </w:rPr>
        <w:t>发展。</w:t>
      </w:r>
      <w:r>
        <w:rPr>
          <w:rFonts w:hint="eastAsia" w:ascii="仿宋_GB2312" w:hAnsi="仿宋_GB2312"/>
          <w:bCs w:val="0"/>
          <w:sz w:val="32"/>
        </w:rPr>
        <w:t>坚持把扩大对内、对外开放作为打造我区现代化工业体系的重要途径，统筹利用国际国内两个市场、两种资源，实现更加强劲可持续的发展。</w:t>
      </w:r>
      <w:r>
        <w:rPr>
          <w:rFonts w:ascii="Times New Roman" w:hAnsi="Times New Roman" w:cs="Times New Roman"/>
          <w:sz w:val="32"/>
        </w:rPr>
        <w:t>抢抓</w:t>
      </w:r>
      <w:r>
        <w:rPr>
          <w:rFonts w:hint="eastAsia" w:ascii="Times New Roman" w:hAnsi="Times New Roman" w:cs="Times New Roman"/>
          <w:sz w:val="32"/>
        </w:rPr>
        <w:t>内外市场</w:t>
      </w:r>
      <w:r>
        <w:rPr>
          <w:rFonts w:ascii="Times New Roman" w:hAnsi="Times New Roman" w:cs="Times New Roman"/>
          <w:sz w:val="32"/>
        </w:rPr>
        <w:t>发展空间机遇</w:t>
      </w:r>
      <w:r>
        <w:rPr>
          <w:rFonts w:hint="eastAsia" w:ascii="Times New Roman" w:hAnsi="Times New Roman" w:cs="Times New Roman"/>
          <w:sz w:val="32"/>
        </w:rPr>
        <w:t>期</w:t>
      </w:r>
      <w:r>
        <w:rPr>
          <w:rFonts w:hint="eastAsia" w:ascii="仿宋_GB2312" w:hAnsi="仿宋_GB2312"/>
          <w:bCs w:val="0"/>
          <w:sz w:val="32"/>
        </w:rPr>
        <w:t>，加大招商引资力度，全方位吸引外来投资，借力发展，引进增量，扩大总量。</w:t>
      </w:r>
    </w:p>
    <w:bookmarkEnd w:id="61"/>
    <w:bookmarkEnd w:id="62"/>
    <w:bookmarkEnd w:id="63"/>
    <w:p>
      <w:pPr>
        <w:pStyle w:val="6"/>
        <w:spacing w:before="0" w:after="0" w:line="560" w:lineRule="exact"/>
        <w:ind w:firstLine="632" w:firstLineChars="200"/>
        <w:rPr>
          <w:rFonts w:ascii="楷体" w:hAnsi="楷体" w:eastAsia="楷体" w:cs="楷体"/>
          <w:b w:val="0"/>
          <w:bCs w:val="0"/>
        </w:rPr>
      </w:pPr>
      <w:bookmarkStart w:id="64" w:name="_Toc23002"/>
      <w:bookmarkStart w:id="65" w:name="_Toc29910"/>
      <w:bookmarkStart w:id="66" w:name="_Toc32550"/>
      <w:r>
        <w:rPr>
          <w:rFonts w:hint="eastAsia" w:ascii="楷体" w:hAnsi="楷体" w:eastAsia="楷体" w:cs="楷体"/>
          <w:b w:val="0"/>
          <w:bCs w:val="0"/>
        </w:rPr>
        <w:t>（三）发展目标</w:t>
      </w:r>
      <w:bookmarkEnd w:id="52"/>
      <w:bookmarkEnd w:id="53"/>
      <w:bookmarkEnd w:id="54"/>
      <w:bookmarkEnd w:id="64"/>
      <w:bookmarkEnd w:id="65"/>
      <w:bookmarkEnd w:id="66"/>
    </w:p>
    <w:p>
      <w:pPr>
        <w:spacing w:line="560" w:lineRule="exact"/>
        <w:ind w:firstLine="632" w:firstLineChars="200"/>
      </w:pPr>
      <w:bookmarkStart w:id="67" w:name="_Toc21145"/>
      <w:bookmarkStart w:id="68" w:name="_Toc972193426"/>
      <w:bookmarkStart w:id="69" w:name="_Toc565"/>
      <w:r>
        <w:rPr>
          <w:rFonts w:hint="eastAsia"/>
          <w:b/>
        </w:rPr>
        <w:t>1.工业产值迈上新台阶</w:t>
      </w:r>
      <w:bookmarkEnd w:id="67"/>
      <w:bookmarkEnd w:id="68"/>
      <w:bookmarkEnd w:id="69"/>
      <w:r>
        <w:rPr>
          <w:rFonts w:hint="eastAsia"/>
          <w:b/>
        </w:rPr>
        <w:t>。</w:t>
      </w:r>
      <w:r>
        <w:rPr>
          <w:rFonts w:hint="eastAsia"/>
        </w:rPr>
        <w:t>至2025年，规上工业总产值达到285亿元以上，规上工业增加值突破55亿元，工业投资达到40亿元，技改投资达到22亿元，规上工业企业数量达到125家。</w:t>
      </w:r>
    </w:p>
    <w:p>
      <w:pPr>
        <w:spacing w:line="570" w:lineRule="exact"/>
        <w:ind w:firstLine="632" w:firstLineChars="200"/>
      </w:pPr>
      <w:bookmarkStart w:id="70" w:name="_Toc3565"/>
      <w:bookmarkStart w:id="71" w:name="_Toc1599324406"/>
      <w:bookmarkStart w:id="72" w:name="_Toc32343"/>
      <w:r>
        <w:rPr>
          <w:rFonts w:hint="eastAsia"/>
          <w:b/>
        </w:rPr>
        <w:t>2.创新能力取得新突破</w:t>
      </w:r>
      <w:bookmarkEnd w:id="70"/>
      <w:bookmarkEnd w:id="71"/>
      <w:bookmarkEnd w:id="72"/>
      <w:r>
        <w:rPr>
          <w:rFonts w:hint="eastAsia"/>
          <w:b/>
        </w:rPr>
        <w:t>。</w:t>
      </w:r>
      <w:r>
        <w:rPr>
          <w:rFonts w:hint="eastAsia"/>
        </w:rPr>
        <w:t>至2025年，</w:t>
      </w:r>
      <w:r>
        <w:rPr>
          <w:rFonts w:hint="eastAsia"/>
          <w:bCs/>
        </w:rPr>
        <w:t>全社会研究与试验发展（</w:t>
      </w:r>
      <w:r>
        <w:rPr>
          <w:rFonts w:hint="eastAsia"/>
        </w:rPr>
        <w:t>R&amp;D</w:t>
      </w:r>
      <w:r>
        <w:rPr>
          <w:rFonts w:hint="eastAsia"/>
          <w:bCs/>
        </w:rPr>
        <w:t>）</w:t>
      </w:r>
      <w:r>
        <w:rPr>
          <w:rFonts w:hint="eastAsia"/>
        </w:rPr>
        <w:t>经费支出占GDP比重提高到2.</w:t>
      </w:r>
      <w:r>
        <w:rPr>
          <w:bCs/>
        </w:rPr>
        <w:t>7</w:t>
      </w:r>
      <w:r>
        <w:rPr>
          <w:rFonts w:hint="eastAsia"/>
        </w:rPr>
        <w:t>%以上，规上企业研发机构设置率提高到68%以上</w:t>
      </w:r>
      <w:r>
        <w:rPr>
          <w:rFonts w:hint="eastAsia"/>
          <w:bCs/>
        </w:rPr>
        <w:t>，</w:t>
      </w:r>
      <w:r>
        <w:rPr>
          <w:rFonts w:hint="eastAsia"/>
        </w:rPr>
        <w:t>高新技术产业增加值占规上工业增加值比重达到5</w:t>
      </w:r>
      <w:r>
        <w:t>5</w:t>
      </w:r>
      <w:r>
        <w:rPr>
          <w:rFonts w:hint="eastAsia"/>
        </w:rPr>
        <w:t>%以上。每万人发明专利拥有量达到15件，全社会劳动生产率达到22万元。发挥平台基础结合特色优势，至2025年建成1-2个特色科创平台，加快研发特色专项步伐。</w:t>
      </w:r>
    </w:p>
    <w:p>
      <w:pPr>
        <w:pStyle w:val="3"/>
        <w:spacing w:line="560" w:lineRule="exact"/>
        <w:ind w:firstLine="632" w:firstLineChars="200"/>
        <w:outlineLvl w:val="2"/>
        <w:rPr>
          <w:rFonts w:ascii="仿宋_GB2312" w:hAnsi="仿宋_GB2312"/>
          <w:bCs w:val="0"/>
          <w:sz w:val="32"/>
        </w:rPr>
      </w:pPr>
      <w:bookmarkStart w:id="73" w:name="_Toc19350"/>
      <w:bookmarkStart w:id="74" w:name="_Toc23812"/>
      <w:bookmarkStart w:id="75" w:name="_Toc1939965790"/>
      <w:r>
        <w:rPr>
          <w:rFonts w:hint="eastAsia" w:ascii="仿宋_GB2312" w:hAnsi="仿宋_GB2312"/>
          <w:b/>
          <w:sz w:val="32"/>
        </w:rPr>
        <w:t>3.产业结构取得新优化</w:t>
      </w:r>
      <w:bookmarkEnd w:id="73"/>
      <w:bookmarkEnd w:id="74"/>
      <w:bookmarkEnd w:id="75"/>
      <w:r>
        <w:rPr>
          <w:rFonts w:hint="eastAsia" w:ascii="仿宋_GB2312" w:hAnsi="仿宋_GB2312"/>
          <w:b/>
          <w:sz w:val="32"/>
        </w:rPr>
        <w:t>。</w:t>
      </w:r>
      <w:r>
        <w:rPr>
          <w:rFonts w:hint="eastAsia" w:ascii="仿宋_GB2312" w:hAnsi="仿宋_GB2312"/>
          <w:bCs w:val="0"/>
          <w:sz w:val="32"/>
        </w:rPr>
        <w:t>产业特色凸显，产业结构明显优化。至2025年，高新技术产业增加值占规上工业增加值的比重达到55%；协同瓯江口打造</w:t>
      </w:r>
      <w:r>
        <w:rPr>
          <w:rFonts w:ascii="仿宋_GB2312" w:hAnsi="仿宋_GB2312"/>
          <w:bCs w:val="0"/>
          <w:sz w:val="32"/>
        </w:rPr>
        <w:t>现代临港产业基地、新能源产研应用基地、对台产业合作基地</w:t>
      </w:r>
      <w:r>
        <w:rPr>
          <w:rFonts w:hint="eastAsia" w:ascii="仿宋_GB2312" w:hAnsi="仿宋_GB2312"/>
          <w:bCs w:val="0"/>
          <w:sz w:val="32"/>
        </w:rPr>
        <w:t>，加快培育“千亿级”产业集群，战略性新兴产业增加值占规上工业增加值比重提高至45%。</w:t>
      </w:r>
    </w:p>
    <w:p>
      <w:pPr>
        <w:pStyle w:val="3"/>
        <w:spacing w:line="560" w:lineRule="exact"/>
        <w:ind w:firstLine="632" w:firstLineChars="200"/>
        <w:outlineLvl w:val="2"/>
        <w:rPr>
          <w:rFonts w:ascii="仿宋_GB2312" w:hAnsi="仿宋_GB2312"/>
          <w:bCs w:val="0"/>
          <w:sz w:val="32"/>
        </w:rPr>
      </w:pPr>
      <w:bookmarkStart w:id="76" w:name="_Toc1908303776"/>
      <w:bookmarkStart w:id="77" w:name="_Toc4724"/>
      <w:bookmarkStart w:id="78" w:name="_Toc4060"/>
      <w:r>
        <w:rPr>
          <w:rFonts w:hint="eastAsia" w:ascii="仿宋_GB2312" w:hAnsi="仿宋_GB2312"/>
          <w:b/>
          <w:sz w:val="32"/>
        </w:rPr>
        <w:t>4.数字智造取得新提升</w:t>
      </w:r>
      <w:bookmarkEnd w:id="76"/>
      <w:bookmarkEnd w:id="77"/>
      <w:bookmarkEnd w:id="78"/>
      <w:r>
        <w:rPr>
          <w:rFonts w:hint="eastAsia" w:ascii="仿宋_GB2312" w:hAnsi="仿宋_GB2312"/>
          <w:b/>
          <w:sz w:val="32"/>
        </w:rPr>
        <w:t>。</w:t>
      </w:r>
      <w:r>
        <w:rPr>
          <w:rFonts w:hint="eastAsia" w:ascii="仿宋_GB2312" w:hAnsi="仿宋_GB2312"/>
          <w:bCs w:val="0"/>
          <w:sz w:val="32"/>
        </w:rPr>
        <w:t>两化深度融合、机器换人取得显著成效，企业信息化水平大幅提升。至2025年，数字经济增加值占GDP比重达到50%，“两化”融合发展指数达到68，信息化发展指数达到95以上，市级及以上“两化”融合示范企业2家，设备数控率达到50%以上，设备联网率的达到40%以上；智慧城市（三期）赋能强劲，打造状元岛数字产业城，开发港城融合生态智慧小镇。</w:t>
      </w:r>
    </w:p>
    <w:p>
      <w:pPr>
        <w:pStyle w:val="3"/>
        <w:spacing w:line="560" w:lineRule="exact"/>
        <w:ind w:firstLine="632" w:firstLineChars="200"/>
        <w:outlineLvl w:val="2"/>
        <w:rPr>
          <w:rFonts w:ascii="仿宋_GB2312" w:hAnsi="仿宋_GB2312"/>
          <w:bCs w:val="0"/>
          <w:sz w:val="32"/>
        </w:rPr>
      </w:pPr>
      <w:bookmarkStart w:id="79" w:name="_Toc23982"/>
      <w:bookmarkStart w:id="80" w:name="_Toc9914"/>
      <w:bookmarkStart w:id="81" w:name="_Toc193295287"/>
      <w:r>
        <w:rPr>
          <w:rFonts w:hint="eastAsia" w:ascii="仿宋_GB2312" w:hAnsi="仿宋_GB2312"/>
          <w:b/>
          <w:sz w:val="32"/>
        </w:rPr>
        <w:t>5.绿色发展取得新成效</w:t>
      </w:r>
      <w:bookmarkEnd w:id="79"/>
      <w:bookmarkEnd w:id="80"/>
      <w:bookmarkEnd w:id="81"/>
      <w:r>
        <w:rPr>
          <w:rFonts w:hint="eastAsia" w:ascii="仿宋_GB2312" w:hAnsi="仿宋_GB2312"/>
          <w:b/>
          <w:sz w:val="32"/>
        </w:rPr>
        <w:t>。</w:t>
      </w:r>
      <w:r>
        <w:rPr>
          <w:rFonts w:hint="eastAsia" w:ascii="仿宋_GB2312" w:hAnsi="仿宋_GB2312"/>
          <w:bCs w:val="0"/>
          <w:sz w:val="32"/>
        </w:rPr>
        <w:t>坚持把可持续发展作为发展海岛工业经济的重要着力点，加强节能环保技术、工艺、装备的推广应用。“十四五”期间，单位工业增加值能耗、规上工业亩均增加值、规上工业亩均税收完成省里下达的目标任务，工业固体废物利用处置率达到100%。高污染企业实现网络化、绿色化制造全覆盖，安全生产能力明显增强。</w:t>
      </w:r>
      <w:bookmarkStart w:id="82" w:name="_Hlk72396895"/>
    </w:p>
    <w:p>
      <w:pPr>
        <w:jc w:val="center"/>
        <w:rPr>
          <w:rFonts w:hint="eastAsia" w:ascii="黑体" w:hAnsi="黑体" w:eastAsia="黑体" w:cs="黑体"/>
          <w:sz w:val="24"/>
          <w:szCs w:val="24"/>
        </w:rPr>
      </w:pPr>
      <w:r>
        <w:rPr>
          <w:rFonts w:hint="eastAsia" w:ascii="黑体" w:hAnsi="黑体" w:eastAsia="黑体" w:cs="黑体"/>
          <w:sz w:val="24"/>
          <w:szCs w:val="24"/>
        </w:rPr>
        <w:t>表2 “十四五”时期洞头区工业、信息化和科技发展目标表（大洞头）</w:t>
      </w:r>
    </w:p>
    <w:tbl>
      <w:tblPr>
        <w:tblStyle w:val="20"/>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96"/>
        <w:gridCol w:w="1418"/>
        <w:gridCol w:w="1785"/>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3368"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指 标 名 称</w:t>
            </w:r>
          </w:p>
        </w:tc>
        <w:tc>
          <w:tcPr>
            <w:tcW w:w="1292"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单位</w:t>
            </w:r>
          </w:p>
        </w:tc>
        <w:tc>
          <w:tcPr>
            <w:tcW w:w="1627"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2020年</w:t>
            </w:r>
          </w:p>
        </w:tc>
        <w:tc>
          <w:tcPr>
            <w:tcW w:w="1778"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规上工业总产值</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108.29</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规上工业增加值</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14.42</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工业投资</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36.15</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技改投资</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5.33</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规上工业企业数量</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家</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63</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125</w:t>
            </w:r>
          </w:p>
        </w:tc>
      </w:tr>
    </w:tbl>
    <w:p>
      <w:pPr>
        <w:rPr>
          <w:rFonts w:hint="eastAsia" w:ascii="黑体" w:hAnsi="黑体" w:eastAsia="黑体" w:cs="黑体"/>
          <w:sz w:val="24"/>
          <w:szCs w:val="24"/>
        </w:rPr>
      </w:pPr>
    </w:p>
    <w:p>
      <w:pPr>
        <w:jc w:val="center"/>
        <w:rPr>
          <w:rFonts w:hint="eastAsia" w:ascii="黑体" w:hAnsi="黑体" w:eastAsia="黑体" w:cs="黑体"/>
          <w:sz w:val="24"/>
          <w:szCs w:val="24"/>
        </w:rPr>
      </w:pPr>
      <w:r>
        <w:rPr>
          <w:rFonts w:hint="eastAsia" w:ascii="黑体" w:hAnsi="黑体" w:eastAsia="黑体" w:cs="黑体"/>
          <w:sz w:val="24"/>
          <w:szCs w:val="24"/>
        </w:rPr>
        <w:t>表3 “十四五”时期洞头区工业、信息化和科技发展目标表（小洞头）</w:t>
      </w:r>
    </w:p>
    <w:tbl>
      <w:tblPr>
        <w:tblStyle w:val="20"/>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4"/>
        <w:gridCol w:w="3367"/>
        <w:gridCol w:w="1292"/>
        <w:gridCol w:w="1629"/>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785"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分类</w:t>
            </w:r>
          </w:p>
        </w:tc>
        <w:tc>
          <w:tcPr>
            <w:tcW w:w="3368"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指 标 名 称</w:t>
            </w:r>
          </w:p>
        </w:tc>
        <w:tc>
          <w:tcPr>
            <w:tcW w:w="1292"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单位</w:t>
            </w:r>
          </w:p>
        </w:tc>
        <w:tc>
          <w:tcPr>
            <w:tcW w:w="1627"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2020年</w:t>
            </w:r>
          </w:p>
        </w:tc>
        <w:tc>
          <w:tcPr>
            <w:tcW w:w="1778" w:type="dxa"/>
            <w:tcMar>
              <w:top w:w="15" w:type="dxa"/>
              <w:left w:w="15" w:type="dxa"/>
              <w:right w:w="15" w:type="dxa"/>
            </w:tcMar>
            <w:vAlign w:val="center"/>
          </w:tcPr>
          <w:p>
            <w:pPr>
              <w:spacing w:line="240" w:lineRule="exact"/>
              <w:jc w:val="center"/>
              <w:rPr>
                <w:rFonts w:hint="eastAsia" w:ascii="宋体" w:hAnsi="宋体" w:eastAsia="宋体" w:cs="宋体"/>
                <w:b/>
                <w:sz w:val="20"/>
                <w:szCs w:val="20"/>
              </w:rPr>
            </w:pPr>
            <w:r>
              <w:rPr>
                <w:rFonts w:hint="eastAsia" w:ascii="宋体" w:hAnsi="宋体" w:eastAsia="宋体" w:cs="宋体"/>
                <w:b/>
                <w:sz w:val="20"/>
                <w:szCs w:val="20"/>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785" w:type="dxa"/>
            <w:vMerge w:val="restart"/>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r>
              <w:rPr>
                <w:rFonts w:hint="eastAsia" w:ascii="宋体" w:hAnsi="宋体" w:eastAsia="宋体" w:cs="宋体"/>
                <w:b/>
                <w:kern w:val="0"/>
                <w:sz w:val="18"/>
                <w:szCs w:val="18"/>
                <w:lang w:bidi="ar"/>
              </w:rPr>
              <w:t>质量效益</w:t>
            </w: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规上工业总产值</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51.19</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规上工业增加值</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8.99</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color w:val="0000FF"/>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工业投资</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6.62</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技改投资</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亿元</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1.24</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规上工业企业数量</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家</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35</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restart"/>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r>
              <w:rPr>
                <w:rFonts w:hint="eastAsia" w:ascii="宋体" w:hAnsi="宋体" w:eastAsia="宋体" w:cs="宋体"/>
                <w:b/>
                <w:kern w:val="0"/>
                <w:sz w:val="18"/>
                <w:szCs w:val="18"/>
                <w:lang w:bidi="ar"/>
              </w:rPr>
              <w:t>创新驱动</w:t>
            </w: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R&amp;D经费支出占GDP比重</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1.15</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每万人发明专利拥有量</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件</w:t>
            </w:r>
          </w:p>
        </w:tc>
        <w:tc>
          <w:tcPr>
            <w:tcW w:w="1627"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8.8</w:t>
            </w:r>
          </w:p>
        </w:tc>
        <w:tc>
          <w:tcPr>
            <w:tcW w:w="1778"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规上工业全员劳动生产率</w:t>
            </w:r>
          </w:p>
        </w:tc>
        <w:tc>
          <w:tcPr>
            <w:tcW w:w="1292"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万元/人·年</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29.46</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restart"/>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r>
              <w:rPr>
                <w:rFonts w:hint="eastAsia" w:ascii="宋体" w:hAnsi="宋体" w:eastAsia="宋体" w:cs="宋体"/>
                <w:b/>
                <w:kern w:val="0"/>
                <w:sz w:val="18"/>
                <w:szCs w:val="18"/>
                <w:lang w:bidi="ar"/>
              </w:rPr>
              <w:t>产业结构</w:t>
            </w: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高新技术产业增加值占规上工业增加值的比重</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55.5</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战略性新兴产业增加值占规上工业增加值比重</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63.8</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规上企业研发机构设置率</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50</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restart"/>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r>
              <w:rPr>
                <w:rFonts w:hint="eastAsia" w:ascii="宋体" w:hAnsi="宋体" w:eastAsia="宋体" w:cs="宋体"/>
                <w:b/>
                <w:kern w:val="0"/>
                <w:sz w:val="18"/>
                <w:szCs w:val="18"/>
                <w:lang w:bidi="ar"/>
              </w:rPr>
              <w:t>数字智造</w:t>
            </w: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数字经济增加值占GDP比重</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2.2</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“两化”融合发展指数</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68.99</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信息化发展指数</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102.4</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市级及以上“两化”融合示范企业数</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家</w:t>
            </w:r>
          </w:p>
        </w:tc>
        <w:tc>
          <w:tcPr>
            <w:tcW w:w="1627"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设备数控率</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47.3</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设备联网率</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7"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35.9</w:t>
            </w:r>
          </w:p>
        </w:tc>
        <w:tc>
          <w:tcPr>
            <w:tcW w:w="177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restart"/>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r>
              <w:rPr>
                <w:rFonts w:hint="eastAsia" w:ascii="宋体" w:hAnsi="宋体" w:eastAsia="宋体" w:cs="宋体"/>
                <w:b/>
                <w:kern w:val="0"/>
                <w:sz w:val="18"/>
                <w:szCs w:val="18"/>
                <w:lang w:bidi="ar"/>
              </w:rPr>
              <w:t>绿色发展</w:t>
            </w: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单位工业增加值能耗</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吨标准煤/万元</w:t>
            </w:r>
          </w:p>
        </w:tc>
        <w:tc>
          <w:tcPr>
            <w:tcW w:w="1629"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0.372</w:t>
            </w:r>
          </w:p>
        </w:tc>
        <w:tc>
          <w:tcPr>
            <w:tcW w:w="1776" w:type="dxa"/>
            <w:vMerge w:val="restart"/>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完成省市下达的</w:t>
            </w:r>
          </w:p>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规上工业亩均增加值</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万元/亩</w:t>
            </w:r>
          </w:p>
        </w:tc>
        <w:tc>
          <w:tcPr>
            <w:tcW w:w="1629"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79.65</w:t>
            </w:r>
          </w:p>
        </w:tc>
        <w:tc>
          <w:tcPr>
            <w:tcW w:w="1776" w:type="dxa"/>
            <w:vMerge w:val="continue"/>
            <w:tcMar>
              <w:top w:w="15" w:type="dxa"/>
              <w:left w:w="15" w:type="dxa"/>
              <w:right w:w="15" w:type="dxa"/>
            </w:tcMar>
            <w:vAlign w:val="center"/>
          </w:tcPr>
          <w:p>
            <w:pPr>
              <w:spacing w:line="30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规上工业亩均税收</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万元/亩</w:t>
            </w:r>
          </w:p>
        </w:tc>
        <w:tc>
          <w:tcPr>
            <w:tcW w:w="1629"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24.12</w:t>
            </w:r>
          </w:p>
        </w:tc>
        <w:tc>
          <w:tcPr>
            <w:tcW w:w="1776" w:type="dxa"/>
            <w:vMerge w:val="continue"/>
            <w:tcMar>
              <w:top w:w="15" w:type="dxa"/>
              <w:left w:w="15" w:type="dxa"/>
              <w:right w:w="15" w:type="dxa"/>
            </w:tcMar>
            <w:vAlign w:val="center"/>
          </w:tcPr>
          <w:p>
            <w:pPr>
              <w:spacing w:line="30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5" w:type="dxa"/>
            <w:vMerge w:val="continue"/>
            <w:tcMar>
              <w:top w:w="15" w:type="dxa"/>
              <w:left w:w="15" w:type="dxa"/>
              <w:right w:w="15" w:type="dxa"/>
            </w:tcMar>
            <w:vAlign w:val="center"/>
          </w:tcPr>
          <w:p>
            <w:pPr>
              <w:widowControl/>
              <w:jc w:val="center"/>
              <w:textAlignment w:val="center"/>
              <w:rPr>
                <w:rFonts w:ascii="宋体" w:hAnsi="宋体" w:eastAsia="宋体" w:cs="宋体"/>
                <w:b/>
                <w:kern w:val="0"/>
                <w:sz w:val="18"/>
                <w:szCs w:val="18"/>
                <w:lang w:bidi="ar"/>
              </w:rPr>
            </w:pPr>
          </w:p>
        </w:tc>
        <w:tc>
          <w:tcPr>
            <w:tcW w:w="3368"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工业固体废物利用处置率</w:t>
            </w:r>
          </w:p>
        </w:tc>
        <w:tc>
          <w:tcPr>
            <w:tcW w:w="1292" w:type="dxa"/>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629"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99.1</w:t>
            </w:r>
          </w:p>
        </w:tc>
        <w:tc>
          <w:tcPr>
            <w:tcW w:w="1776" w:type="dxa"/>
            <w:tcMar>
              <w:top w:w="15" w:type="dxa"/>
              <w:left w:w="15" w:type="dxa"/>
              <w:right w:w="15" w:type="dxa"/>
            </w:tcMar>
            <w:vAlign w:val="center"/>
          </w:tcPr>
          <w:p>
            <w:pPr>
              <w:spacing w:line="300" w:lineRule="exact"/>
              <w:jc w:val="center"/>
              <w:rPr>
                <w:rFonts w:ascii="宋体" w:hAnsi="宋体" w:eastAsia="宋体" w:cs="宋体"/>
                <w:sz w:val="18"/>
                <w:szCs w:val="18"/>
              </w:rPr>
            </w:pPr>
            <w:r>
              <w:rPr>
                <w:rFonts w:hint="eastAsia" w:ascii="宋体" w:hAnsi="宋体" w:eastAsia="宋体" w:cs="宋体"/>
                <w:sz w:val="18"/>
                <w:szCs w:val="18"/>
              </w:rPr>
              <w:t>100</w:t>
            </w:r>
          </w:p>
        </w:tc>
      </w:tr>
    </w:tbl>
    <w:p>
      <w:pPr>
        <w:spacing w:line="560" w:lineRule="exact"/>
        <w:ind w:firstLine="472" w:firstLineChars="200"/>
        <w:outlineLvl w:val="0"/>
        <w:rPr>
          <w:rFonts w:hint="eastAsia"/>
        </w:rPr>
      </w:pPr>
      <w:bookmarkStart w:id="83" w:name="_Toc26052"/>
      <w:bookmarkStart w:id="84" w:name="_Toc14187"/>
      <w:r>
        <w:rPr>
          <w:rFonts w:hint="eastAsia" w:ascii="黑体" w:hAnsi="黑体" w:eastAsia="黑体" w:cs="黑体"/>
          <w:sz w:val="24"/>
          <w:szCs w:val="24"/>
        </w:rPr>
        <w:t>注：R&amp;D经费支出占GDP比重、规上企业研发机构设置率为2019年度数据，2020年度数据尚未核定。</w:t>
      </w:r>
      <w:bookmarkEnd w:id="83"/>
      <w:bookmarkEnd w:id="84"/>
    </w:p>
    <w:bookmarkEnd w:id="82"/>
    <w:p>
      <w:pPr>
        <w:pStyle w:val="5"/>
        <w:spacing w:line="560" w:lineRule="exact"/>
        <w:ind w:firstLine="632" w:firstLineChars="200"/>
        <w:jc w:val="both"/>
        <w:rPr>
          <w:rFonts w:ascii="黑体" w:hAnsi="黑体" w:eastAsia="黑体" w:cstheme="minorBidi"/>
          <w:b w:val="0"/>
          <w:sz w:val="32"/>
          <w:lang w:val="en-US"/>
        </w:rPr>
      </w:pPr>
      <w:bookmarkStart w:id="85" w:name="_Toc22513"/>
      <w:bookmarkStart w:id="86" w:name="_Toc12940"/>
      <w:bookmarkStart w:id="87" w:name="_Toc10667"/>
      <w:bookmarkStart w:id="88" w:name="_Toc32109"/>
      <w:bookmarkStart w:id="89" w:name="_Toc1240694526"/>
      <w:bookmarkStart w:id="90" w:name="_Toc10351"/>
      <w:bookmarkStart w:id="91" w:name="_Toc1637616698"/>
      <w:bookmarkStart w:id="92" w:name="_Toc242801342"/>
      <w:bookmarkStart w:id="93" w:name="_Toc10553"/>
      <w:bookmarkStart w:id="94" w:name="_Toc32050"/>
      <w:r>
        <w:rPr>
          <w:rFonts w:hint="eastAsia" w:ascii="黑体" w:hAnsi="黑体" w:eastAsia="黑体" w:cstheme="minorBidi"/>
          <w:b w:val="0"/>
          <w:sz w:val="32"/>
          <w:lang w:val="en-US"/>
        </w:rPr>
        <w:t>三、空间布局和平台发展</w:t>
      </w:r>
      <w:bookmarkEnd w:id="85"/>
      <w:bookmarkEnd w:id="86"/>
      <w:bookmarkEnd w:id="87"/>
      <w:bookmarkEnd w:id="88"/>
      <w:bookmarkEnd w:id="89"/>
      <w:bookmarkEnd w:id="90"/>
    </w:p>
    <w:p>
      <w:pPr>
        <w:spacing w:line="560" w:lineRule="exact"/>
        <w:ind w:firstLine="632" w:firstLineChars="200"/>
      </w:pPr>
      <w:r>
        <w:rPr>
          <w:rFonts w:hint="eastAsia"/>
          <w:b/>
          <w:bCs/>
          <w:lang w:eastAsia="zh-Hans"/>
        </w:rPr>
        <w:t>“十四五”期间</w:t>
      </w:r>
      <w:r>
        <w:rPr>
          <w:b/>
          <w:bCs/>
          <w:lang w:eastAsia="zh-Hans"/>
        </w:rPr>
        <w:t>，</w:t>
      </w:r>
      <w:r>
        <w:rPr>
          <w:rFonts w:hint="eastAsia"/>
          <w:b/>
          <w:bCs/>
          <w:lang w:eastAsia="zh-Hans"/>
        </w:rPr>
        <w:t>全区结合抢抓海洋战略叠加机遇，立足长三角-海西区腹地，聚焦温州湾瓯洞区块</w:t>
      </w:r>
      <w:r>
        <w:rPr>
          <w:b/>
          <w:bCs/>
          <w:lang w:eastAsia="zh-Hans"/>
        </w:rPr>
        <w:t>，</w:t>
      </w:r>
      <w:r>
        <w:rPr>
          <w:rFonts w:hint="eastAsia"/>
          <w:b/>
          <w:bCs/>
        </w:rPr>
        <w:t>围绕做优洞头大小门石化产业基地和海洋经济产业园两大高质量产业平台目标，</w:t>
      </w:r>
      <w:r>
        <w:rPr>
          <w:rFonts w:hint="eastAsia"/>
          <w:b/>
          <w:bCs/>
          <w:lang w:eastAsia="zh-Hans"/>
        </w:rPr>
        <w:t>充分利用温州湾的独特区位优势和资源</w:t>
      </w:r>
      <w:r>
        <w:rPr>
          <w:b/>
          <w:bCs/>
          <w:lang w:eastAsia="zh-Hans"/>
        </w:rPr>
        <w:t>，</w:t>
      </w:r>
      <w:r>
        <w:rPr>
          <w:rFonts w:hint="eastAsia"/>
          <w:b/>
          <w:bCs/>
          <w:lang w:eastAsia="zh-Hans"/>
        </w:rPr>
        <w:t>形成“</w:t>
      </w:r>
      <w:r>
        <w:rPr>
          <w:rFonts w:hint="eastAsia"/>
          <w:b/>
          <w:bCs/>
        </w:rPr>
        <w:t>双区集群，一港联动，多点发展</w:t>
      </w:r>
      <w:r>
        <w:rPr>
          <w:b/>
          <w:bCs/>
          <w:lang w:eastAsia="zh-Hans"/>
        </w:rPr>
        <w:t>”</w:t>
      </w:r>
      <w:r>
        <w:rPr>
          <w:rFonts w:hint="eastAsia"/>
          <w:b/>
          <w:bCs/>
        </w:rPr>
        <w:t>的空间</w:t>
      </w:r>
      <w:r>
        <w:rPr>
          <w:rFonts w:hint="eastAsia"/>
          <w:b/>
          <w:bCs/>
          <w:lang w:eastAsia="zh-Hans"/>
        </w:rPr>
        <w:t>布局</w:t>
      </w:r>
      <w:r>
        <w:rPr>
          <w:b/>
          <w:bCs/>
          <w:lang w:eastAsia="zh-Hans"/>
        </w:rPr>
        <w:t>。</w:t>
      </w:r>
      <w:r>
        <w:rPr>
          <w:rFonts w:hint="eastAsia"/>
        </w:rPr>
        <w:t>探索与瓯江口片区联合招商，互通共用招商基础数据信息，协同开展双向集群招商、产业链互补招商。推动与瓯江口片区产业链相互交融，引导两片区装备制造、临港产业、生命健康等领域的龙头企业合作共建产业链联盟，引领瓯洞产业链垂直整合发展。</w:t>
      </w:r>
    </w:p>
    <w:p>
      <w:pPr>
        <w:pStyle w:val="8"/>
        <w:spacing w:line="560" w:lineRule="exact"/>
        <w:jc w:val="center"/>
      </w:pPr>
      <w:r>
        <w:rPr>
          <w:rFonts w:hint="eastAsia" w:eastAsia="宋体"/>
        </w:rPr>
        <w:drawing>
          <wp:anchor distT="0" distB="0" distL="114300" distR="114300" simplePos="0" relativeHeight="251659264" behindDoc="0" locked="0" layoutInCell="1" allowOverlap="1">
            <wp:simplePos x="0" y="0"/>
            <wp:positionH relativeFrom="column">
              <wp:posOffset>142240</wp:posOffset>
            </wp:positionH>
            <wp:positionV relativeFrom="paragraph">
              <wp:posOffset>564515</wp:posOffset>
            </wp:positionV>
            <wp:extent cx="5350510" cy="3872230"/>
            <wp:effectExtent l="0" t="0" r="2540" b="13970"/>
            <wp:wrapSquare wrapText="bothSides"/>
            <wp:docPr id="3" name="图片 3" descr="7a4e35867010a96d7cc45eb6c750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a4e35867010a96d7cc45eb6c750fb6"/>
                    <pic:cNvPicPr>
                      <a:picLocks noChangeAspect="1"/>
                    </pic:cNvPicPr>
                  </pic:nvPicPr>
                  <pic:blipFill>
                    <a:blip r:embed="rId15"/>
                    <a:stretch>
                      <a:fillRect/>
                    </a:stretch>
                  </pic:blipFill>
                  <pic:spPr>
                    <a:xfrm>
                      <a:off x="0" y="0"/>
                      <a:ext cx="5350510" cy="3872230"/>
                    </a:xfrm>
                    <a:prstGeom prst="rect">
                      <a:avLst/>
                    </a:prstGeom>
                  </pic:spPr>
                </pic:pic>
              </a:graphicData>
            </a:graphic>
          </wp:anchor>
        </w:drawing>
      </w:r>
      <w:r>
        <w:rPr>
          <w:rFonts w:hint="eastAsia"/>
        </w:rPr>
        <w:t>洞头区工业、信息化和科技发展“十四五”空间布局图</w:t>
      </w:r>
    </w:p>
    <w:p>
      <w:pPr>
        <w:pStyle w:val="6"/>
        <w:spacing w:before="0" w:after="0" w:line="560" w:lineRule="exact"/>
        <w:ind w:firstLine="632" w:firstLineChars="200"/>
        <w:rPr>
          <w:rFonts w:ascii="楷体" w:hAnsi="楷体" w:eastAsia="楷体" w:cs="楷体"/>
          <w:b w:val="0"/>
          <w:bCs w:val="0"/>
        </w:rPr>
      </w:pPr>
      <w:bookmarkStart w:id="95" w:name="_Toc10412"/>
      <w:bookmarkStart w:id="96" w:name="_Toc286686112"/>
      <w:bookmarkStart w:id="97" w:name="_Toc11962"/>
      <w:bookmarkStart w:id="98" w:name="_Toc14775"/>
      <w:bookmarkStart w:id="99" w:name="_Toc13437"/>
      <w:bookmarkStart w:id="100" w:name="_Toc14965"/>
      <w:r>
        <w:rPr>
          <w:rFonts w:hint="eastAsia" w:ascii="楷体" w:hAnsi="楷体" w:eastAsia="楷体" w:cs="楷体"/>
          <w:b w:val="0"/>
          <w:bCs w:val="0"/>
        </w:rPr>
        <w:t>（一）双区集群——规划布局</w:t>
      </w:r>
      <w:bookmarkEnd w:id="95"/>
      <w:bookmarkEnd w:id="96"/>
      <w:bookmarkEnd w:id="97"/>
      <w:r>
        <w:rPr>
          <w:rFonts w:hint="eastAsia" w:ascii="楷体" w:hAnsi="楷体" w:eastAsia="楷体" w:cs="楷体"/>
          <w:b w:val="0"/>
          <w:bCs w:val="0"/>
        </w:rPr>
        <w:t>产业发展集聚区</w:t>
      </w:r>
      <w:bookmarkEnd w:id="98"/>
      <w:bookmarkEnd w:id="99"/>
      <w:bookmarkEnd w:id="100"/>
    </w:p>
    <w:p>
      <w:pPr>
        <w:spacing w:line="560" w:lineRule="exact"/>
        <w:ind w:firstLine="632" w:firstLineChars="200"/>
        <w:outlineLvl w:val="2"/>
        <w:rPr>
          <w:b/>
          <w:bCs/>
          <w:color w:val="0000FF"/>
        </w:rPr>
      </w:pPr>
      <w:bookmarkStart w:id="101" w:name="_Toc137104009"/>
      <w:bookmarkStart w:id="102" w:name="_Toc20748"/>
      <w:bookmarkStart w:id="103" w:name="_Toc8018"/>
      <w:bookmarkStart w:id="104" w:name="_Toc1527664163"/>
      <w:bookmarkStart w:id="105" w:name="_Toc4255"/>
      <w:bookmarkStart w:id="106" w:name="_Toc25957"/>
      <w:r>
        <w:rPr>
          <w:rFonts w:hint="eastAsia"/>
          <w:b/>
          <w:bCs/>
        </w:rPr>
        <w:t>1.大小门</w:t>
      </w:r>
      <w:bookmarkEnd w:id="101"/>
      <w:bookmarkEnd w:id="102"/>
      <w:bookmarkEnd w:id="103"/>
      <w:r>
        <w:rPr>
          <w:rFonts w:hint="eastAsia"/>
          <w:b/>
          <w:bCs/>
        </w:rPr>
        <w:t>石化产业基地</w:t>
      </w:r>
    </w:p>
    <w:p>
      <w:pPr>
        <w:ind w:firstLine="600"/>
      </w:pPr>
      <w:r>
        <w:rPr>
          <w:rFonts w:hint="eastAsia"/>
          <w:b/>
          <w:bCs/>
        </w:rPr>
        <w:t>布局规划：</w:t>
      </w:r>
      <w:r>
        <w:rPr>
          <w:rFonts w:hint="eastAsia"/>
        </w:rPr>
        <w:t>以小门岛、大门岛北侧区域为主体，围绕“临港产业岛”发展定位，依托大小门岛港口岸线，以及港区可开发利用岸线等优势，重点发展临港石化、临港物流和临港工业，建设品质、绿色、数字、安全的石化产业园区。联动瓯江口新区，依托灵昆作业区与北岸港区、乐清湾港区资源集聚及溢出效应，打通海陆空多式联运物流通道，构建长三角与海西区港口集群与集疏运体系。近期以LNG及配套产业、精细化工、医药化工为主要产业培育方向，做优洞头大小门石化产业基地，建成浙南石化中心、临港产业的示范片区，培育新材料企业研发平台，远期谋划打造温州新材料产业创新基地。</w:t>
      </w:r>
    </w:p>
    <w:p>
      <w:pPr>
        <w:spacing w:line="560" w:lineRule="exact"/>
        <w:ind w:firstLine="632" w:firstLineChars="200"/>
      </w:pPr>
      <w:r>
        <w:rPr>
          <w:rFonts w:hint="eastAsia"/>
          <w:b/>
          <w:bCs/>
        </w:rPr>
        <w:t>加快石化行业平台搭建，加速石化项目推进。</w:t>
      </w:r>
      <w:r>
        <w:rPr>
          <w:rFonts w:hint="eastAsia"/>
        </w:rPr>
        <w:t>完成LNG及其配套产业区块、石化仓储（或能源仓储）区块和乙烯、丙烯精细化工区块的软基处理、三通一平、基础设施等工作，借助石子岙旷地优质矿业资源，加快推进石子岙料场挂牌进程，力争</w:t>
      </w:r>
      <w:r>
        <w:t>2024年新增土地250亩</w:t>
      </w:r>
      <w:r>
        <w:rPr>
          <w:rFonts w:hint="eastAsia"/>
        </w:rPr>
        <w:t>，助力临港石化产业园区建设。推进园区智慧环保系统建设，推动骨干通信管道扩容等数字基础设施改造升级，为物联网、工业互联网、大数据、云计算等技术在园区实际应用打好基础，实现5G网络全覆盖，提升园区专业化管理水平。实施绿色制造工程，重点推进机械汽配、电子电器、水产品加工、建材工业等传统产业绿色化改造。建设“可降解材料产业基地”，以燃料油为原料，围绕可降解新材料为核心产品，打造一体化产业链，对燃料油进行深加工，提高产业链附加值。加快推进重大石化类项目落地，一是加强与北燃、浙石油等有关企业的沟通交流，加快推进浙能、华港LNG、浙石油温州油库等项目，带动石化下游产业链式发展。二是其它临港石化产业项目，进一步完善企业发展环境，创新政府服务模式，持续开展服务企业活动，促进中油沥青项目、浙江弘博塑料增塑剂等临港石化重点项目健康高速发展。三是谋划一批新兴产业，联动瓯江口新区北部生产带架构建设，依托综保区产业园辐射作用，争取百亿级项目落地小门西片。</w:t>
      </w:r>
    </w:p>
    <w:p>
      <w:pPr>
        <w:spacing w:line="560" w:lineRule="exact"/>
        <w:ind w:firstLine="632" w:firstLineChars="200"/>
      </w:pPr>
      <w:r>
        <w:rPr>
          <w:rFonts w:hint="eastAsia"/>
          <w:b/>
          <w:bCs/>
        </w:rPr>
        <w:t>完善产业园区安全监管，加快配套设施建设。</w:t>
      </w:r>
      <w:r>
        <w:rPr>
          <w:rFonts w:hint="eastAsia"/>
        </w:rPr>
        <w:t>落实小门化工园区“五个一体化”建设，即安全监管一体化、危险源监控一体化、人流物流管控一体化、应急保障一体化、应急救治一体化建设，严格高危行业安全准入条件，高危项目引入必须以安全生产作为前置条件进行风险评估。进一步完善大小门临港石化产业园区建设管理模式，明确大门海洋经济示范区管委会、大小门岛投资开发有限公司在石化园区建设、安全管理、环保监管、企业服务等方面职责分工，确保临港石化产业绿色、安全、高效发展。建立温州市临港石化产业政策服务平台，对临港石化企业土地优惠、税收支持、技术创新、节能减排、人才引进、兼并重组等方面提供专项政策服务支持，提升对入园企业的政策咨询服务水平。完善大小门岛基础设施配套，建设小门化工智慧园区，以有利于安全生产为原则，实现基础设施、公共配套设施和安全保障设施的专业化共建共享。</w:t>
      </w:r>
    </w:p>
    <w:bookmarkEnd w:id="104"/>
    <w:bookmarkEnd w:id="105"/>
    <w:bookmarkEnd w:id="106"/>
    <w:p>
      <w:pPr>
        <w:spacing w:line="560" w:lineRule="exact"/>
        <w:ind w:firstLine="632" w:firstLineChars="200"/>
        <w:outlineLvl w:val="2"/>
        <w:rPr>
          <w:b/>
          <w:bCs/>
        </w:rPr>
      </w:pPr>
      <w:r>
        <w:rPr>
          <w:rFonts w:hint="eastAsia"/>
          <w:b/>
          <w:bCs/>
        </w:rPr>
        <w:t>2.海洋经济现代化产业集聚区</w:t>
      </w:r>
    </w:p>
    <w:p>
      <w:pPr>
        <w:spacing w:line="560" w:lineRule="exact"/>
        <w:ind w:firstLine="632" w:firstLineChars="200"/>
      </w:pPr>
      <w:r>
        <w:rPr>
          <w:rFonts w:hint="eastAsia"/>
          <w:b/>
          <w:bCs/>
        </w:rPr>
        <w:t>布局规划：</w:t>
      </w:r>
      <w:r>
        <w:rPr>
          <w:rFonts w:hint="eastAsia"/>
        </w:rPr>
        <w:t>以海洋经济产业园（即杨文工业区和南塘工业区）作为重点布局，加快传统制造业企业整合升级，培育发展新能源、新材料、智能电器、电子元件等高端装备制造，谋划建设海洋科技产业园、智能高端制造科创园，构建以海洋生物医药、海洋新能源为发展亮点的现代化产业集群，成为辐射周边海岛群的现代服务业集聚和核心区，实现海洋经济产业园“再提质、再增效”目标。开展低效用地和低效企业双整治盘活园区存量可用资源，丰富医疗、娱乐、商贸等生活性服务业供给，兴办文创园、众创空间等再开发项目，积极承接周边地区产业转移。</w:t>
      </w:r>
    </w:p>
    <w:p>
      <w:pPr>
        <w:spacing w:line="560" w:lineRule="exact"/>
        <w:ind w:firstLine="632" w:firstLineChars="200"/>
        <w:rPr>
          <w:b/>
          <w:bCs/>
        </w:rPr>
      </w:pPr>
      <w:r>
        <w:rPr>
          <w:rFonts w:hint="eastAsia"/>
          <w:b/>
          <w:bCs/>
        </w:rPr>
        <w:t>开发引导：</w:t>
      </w:r>
    </w:p>
    <w:p>
      <w:pPr>
        <w:spacing w:line="560" w:lineRule="exact"/>
        <w:ind w:firstLine="632" w:firstLineChars="200"/>
      </w:pPr>
      <w:r>
        <w:rPr>
          <w:rFonts w:hint="eastAsia"/>
          <w:b/>
          <w:bCs/>
        </w:rPr>
        <w:t>盘活存量用地，提升海洋产业平台能级。</w:t>
      </w:r>
      <w:r>
        <w:rPr>
          <w:rFonts w:hint="eastAsia"/>
        </w:rPr>
        <w:t>推进杨文片区、南塘片区“优二兴三”</w:t>
      </w:r>
      <w:r>
        <w:rPr>
          <w:rFonts w:hint="eastAsia"/>
          <w:bCs/>
        </w:rPr>
        <w:t>，开展低效用地和低效企业双整治盘活园区存量可用资源，</w:t>
      </w:r>
      <w:r>
        <w:rPr>
          <w:rFonts w:hint="eastAsia" w:ascii="Times New Roman" w:hAnsi="Times New Roman" w:cs="Times New Roman"/>
          <w:szCs w:val="22"/>
        </w:rPr>
        <w:t>在资源分配上优先考虑优质企业、优质产业，优先保障科技型、成长性、创新型小微企业入驻。</w:t>
      </w:r>
      <w:r>
        <w:rPr>
          <w:rFonts w:hint="eastAsia"/>
          <w:bCs/>
        </w:rPr>
        <w:t>抓好诚意药业健康产业园、电子电器创业园、机械汽配产业园、霓屿紫菜现代产业园等平台规范化建设。</w:t>
      </w:r>
      <w:r>
        <w:rPr>
          <w:rFonts w:hint="eastAsia" w:ascii="Times New Roman" w:hAnsi="Times New Roman" w:cs="Times New Roman"/>
          <w:szCs w:val="22"/>
        </w:rPr>
        <w:t>鼓励同行业、产业链上下游企业和配套企业入园集聚发展，</w:t>
      </w:r>
      <w:r>
        <w:rPr>
          <w:rFonts w:hint="eastAsia"/>
        </w:rPr>
        <w:t>优化产供应链发展环境；</w:t>
      </w:r>
      <w:r>
        <w:rPr>
          <w:rFonts w:hint="eastAsia"/>
          <w:bCs/>
        </w:rPr>
        <w:t>通过工业技改、清洁生产、上规培育等工作，</w:t>
      </w:r>
      <w:r>
        <w:rPr>
          <w:rFonts w:hint="eastAsia"/>
        </w:rPr>
        <w:t>提升产业链供应链现代化水平。依托智能高端制造科创园项目，重点招引新能源汽车、新能源汽车充电桩、新材料、智能电器、电子元件、电力智能控制等高端装备产业和现代服务业。</w:t>
      </w:r>
    </w:p>
    <w:p>
      <w:pPr>
        <w:spacing w:line="560" w:lineRule="exact"/>
        <w:ind w:firstLine="632" w:firstLineChars="200"/>
      </w:pPr>
      <w:r>
        <w:rPr>
          <w:rFonts w:hint="eastAsia"/>
          <w:b/>
          <w:bCs/>
        </w:rPr>
        <w:t>完善基础设施，加快园区企业整合升级。</w:t>
      </w:r>
      <w:r>
        <w:rPr>
          <w:rFonts w:hint="eastAsia"/>
        </w:rPr>
        <w:t>依托南塘杨文工业园区基础提升工程、南塘经济总部园大楼等项目建设，对南塘、杨文等工业园区的基础配套项目进行提升，布局数字经济产业相关的研发、设计、管理等领域企业入驻，进一步激活工业园区的活力，以信息化带动新型工业化发展。建立化工企业“一企一档”信息库，分类制定差别化政策，支持低效企业开展数字化转型、商业模式创新；建立招商数据库，绘制招商地图，引育一批总部型企业和“小而精”“精而强”企业；加强园区环境基础设施建设和清洁生产改造，推行园区综合能源资源一体化解决方案。</w:t>
      </w:r>
    </w:p>
    <w:p>
      <w:pPr>
        <w:pStyle w:val="6"/>
        <w:spacing w:before="0" w:after="0" w:line="560" w:lineRule="exact"/>
        <w:ind w:firstLine="632" w:firstLineChars="200"/>
        <w:rPr>
          <w:rFonts w:ascii="楷体" w:hAnsi="楷体" w:eastAsia="楷体" w:cs="楷体"/>
          <w:b w:val="0"/>
          <w:bCs w:val="0"/>
        </w:rPr>
      </w:pPr>
      <w:bookmarkStart w:id="107" w:name="_Toc24794"/>
      <w:bookmarkStart w:id="108" w:name="_Toc32319"/>
      <w:bookmarkStart w:id="109" w:name="_Toc9829"/>
      <w:r>
        <w:rPr>
          <w:rFonts w:hint="eastAsia" w:ascii="楷体" w:hAnsi="楷体" w:eastAsia="楷体" w:cs="楷体"/>
          <w:b w:val="0"/>
          <w:bCs w:val="0"/>
        </w:rPr>
        <w:t>（二）一港联动——构建港区立体化开放通道</w:t>
      </w:r>
      <w:bookmarkEnd w:id="107"/>
      <w:bookmarkEnd w:id="108"/>
      <w:bookmarkEnd w:id="109"/>
    </w:p>
    <w:p>
      <w:pPr>
        <w:spacing w:line="560" w:lineRule="exact"/>
        <w:ind w:firstLine="632" w:firstLineChars="200"/>
      </w:pPr>
      <w:r>
        <w:rPr>
          <w:rFonts w:hint="eastAsia"/>
          <w:b/>
          <w:bCs/>
        </w:rPr>
        <w:t>布局规划：</w:t>
      </w:r>
      <w:r>
        <w:rPr>
          <w:rFonts w:hint="eastAsia"/>
        </w:rPr>
        <w:t>构建由状元南片为中心，向霓屿北片、瓯江口新区拓展，大力引进发展</w:t>
      </w:r>
      <w:r>
        <w:t>新材料、智能电器、电子元件、电力智能控制</w:t>
      </w:r>
      <w:r>
        <w:rPr>
          <w:rFonts w:hint="eastAsia"/>
        </w:rPr>
        <w:t>等高新技术产业，逐步形成规模化的产业集群基地。借力瓯江口新区温州综合保税区对外开放平台要素集聚效应将温州综合保税区功能延伸至状元岙港区，发挥“新兴高端智能外销制造集聚地、温州优质传统产业外销制造集聚地和温州跨境电商集聚地”三大集聚地作用，合力发展临港加工、海洋经济等海洋产业，以及智能制造、安全应急、新材料等高新技术产业，打造立体化开放大通道。</w:t>
      </w:r>
    </w:p>
    <w:p>
      <w:pPr>
        <w:spacing w:line="560" w:lineRule="exact"/>
        <w:ind w:firstLine="632" w:firstLineChars="200"/>
      </w:pPr>
      <w:r>
        <w:rPr>
          <w:rFonts w:hint="eastAsia"/>
          <w:b/>
          <w:bCs/>
        </w:rPr>
        <w:t>开发引导：</w:t>
      </w:r>
      <w:r>
        <w:rPr>
          <w:rFonts w:hint="eastAsia"/>
        </w:rPr>
        <w:t>借助状元岙港区深水岸线资源和深水航道条件条件，以及温州港内核心港口地位，积极</w:t>
      </w:r>
      <w:r>
        <w:rPr>
          <w:szCs w:val="24"/>
        </w:rPr>
        <w:t>对接温州港、宁波港、上海港及温州机场，</w:t>
      </w:r>
      <w:r>
        <w:t>加快瓯江口与状元岙深水港区“区港联动”体系建设</w:t>
      </w:r>
      <w:r>
        <w:rPr>
          <w:szCs w:val="24"/>
        </w:rPr>
        <w:t>，</w:t>
      </w:r>
      <w:r>
        <w:rPr>
          <w:rFonts w:hint="eastAsia"/>
        </w:rPr>
        <w:t>补齐集疏运短板，发展多式联运，构建状元岙港以水水转运为主的大港战略布局，彻底释放港口发展潜能。拓展优化港口腹地空间，整合利用瓯江口产业集聚区、状元岙港区及周边区域空间，通过低效用地提升、“三旧”用地改造等途径，盘活存量建设用地；积极争取用海指标，抓紧实施瓯江口二期、三期以及霓屿北片围垦工程及前期政策处理工作，解决状元岙港腹地用地需求。培植临港产业，打造港区物流经济园，凭借口岸优势，以临港产业发展为纽带，联动瓯江口一期核心片区，积极引进装备修造、仓储、物流、航运、交易市场等以港口为依托发展服务配套产业；争取建设保税仓库，</w:t>
      </w:r>
      <w:r>
        <w:rPr>
          <w:rFonts w:hint="eastAsia" w:hAnsi="宋体"/>
          <w:shd w:val="clear" w:color="auto" w:fill="FFFFFF"/>
        </w:rPr>
        <w:t>积极助推温州港与宁波港在集装箱业务上的深度合作，增加温州港航线；</w:t>
      </w:r>
      <w:r>
        <w:rPr>
          <w:rFonts w:hint="eastAsia"/>
        </w:rPr>
        <w:t>抢抓长三角区域石化产业转移的窗口期，努力建设绿色环保的沿海临港重化产业带；</w:t>
      </w:r>
      <w:r>
        <w:rPr>
          <w:rFonts w:hint="eastAsia" w:hAnsi="宋体"/>
          <w:shd w:val="clear" w:color="auto" w:fill="FFFFFF"/>
        </w:rPr>
        <w:t>推进临港数字产业向霓屿北片、</w:t>
      </w:r>
      <w:r>
        <w:rPr>
          <w:rFonts w:hint="eastAsia"/>
        </w:rPr>
        <w:t>瓯江口新区拓展，大力引进发展高新技术产业、船舶工程等制造业，逐步形成规模化的产业集群基地</w:t>
      </w:r>
      <w:r>
        <w:rPr>
          <w:rFonts w:hint="eastAsia" w:hAnsi="宋体"/>
          <w:shd w:val="clear" w:color="auto" w:fill="FFFFFF"/>
        </w:rPr>
        <w:t>；</w:t>
      </w:r>
      <w:r>
        <w:rPr>
          <w:rFonts w:hint="eastAsia"/>
        </w:rPr>
        <w:t>优化港口配套设施体系，加快构筑公共信息平台、电子商务平台、金融服务平台，完善状元南片区公共服务设施，谋划数字经济产业城建设，打造状元岙港产城融合平台。</w:t>
      </w:r>
    </w:p>
    <w:p>
      <w:pPr>
        <w:pStyle w:val="6"/>
        <w:spacing w:before="0" w:after="0" w:line="560" w:lineRule="exact"/>
        <w:ind w:firstLine="632" w:firstLineChars="200"/>
        <w:rPr>
          <w:rFonts w:ascii="楷体" w:hAnsi="楷体" w:eastAsia="楷体" w:cs="楷体"/>
          <w:b w:val="0"/>
          <w:bCs w:val="0"/>
        </w:rPr>
      </w:pPr>
      <w:bookmarkStart w:id="110" w:name="_Toc23567"/>
      <w:bookmarkStart w:id="111" w:name="_Toc20760"/>
      <w:bookmarkStart w:id="112" w:name="_Toc31440"/>
      <w:bookmarkStart w:id="113" w:name="_Toc192029615"/>
      <w:bookmarkStart w:id="114" w:name="_Toc24070"/>
      <w:bookmarkStart w:id="115" w:name="_Toc24740"/>
      <w:r>
        <w:rPr>
          <w:rFonts w:hint="eastAsia" w:ascii="楷体" w:hAnsi="楷体" w:eastAsia="楷体" w:cs="楷体"/>
          <w:b w:val="0"/>
          <w:bCs w:val="0"/>
        </w:rPr>
        <w:t>（三）多点发展——协同发展多样化重点平台</w:t>
      </w:r>
      <w:bookmarkEnd w:id="110"/>
      <w:bookmarkEnd w:id="111"/>
      <w:bookmarkEnd w:id="112"/>
      <w:bookmarkEnd w:id="113"/>
      <w:bookmarkEnd w:id="114"/>
      <w:bookmarkEnd w:id="115"/>
    </w:p>
    <w:p>
      <w:pPr>
        <w:spacing w:line="560" w:lineRule="exact"/>
        <w:ind w:firstLine="632" w:firstLineChars="200"/>
      </w:pPr>
      <w:r>
        <w:rPr>
          <w:b/>
          <w:bCs/>
        </w:rPr>
        <w:t>布局规划</w:t>
      </w:r>
      <w:r>
        <w:rPr>
          <w:rFonts w:hint="eastAsia"/>
          <w:b/>
          <w:bCs/>
        </w:rPr>
        <w:t>：</w:t>
      </w:r>
      <w:r>
        <w:t>全区规划布局建设工业小微企业园3个，即电子电器创业园、机械汽配产业园及霓屿紫菜现代产业园</w:t>
      </w:r>
      <w:r>
        <w:rPr>
          <w:rFonts w:hint="eastAsia"/>
        </w:rPr>
        <w:t>，</w:t>
      </w:r>
      <w:r>
        <w:t>推动</w:t>
      </w:r>
      <w:r>
        <w:rPr>
          <w:rFonts w:hint="eastAsia"/>
        </w:rPr>
        <w:t>小微园专业化、数字化建设，努力将</w:t>
      </w:r>
      <w:r>
        <w:t>小微园建设成为</w:t>
      </w:r>
      <w:r>
        <w:rPr>
          <w:rFonts w:hint="eastAsia"/>
        </w:rPr>
        <w:t>高质量、高水平、高成长的小微</w:t>
      </w:r>
      <w:r>
        <w:t>企业</w:t>
      </w:r>
      <w:r>
        <w:rPr>
          <w:rFonts w:hint="eastAsia"/>
        </w:rPr>
        <w:t>集聚</w:t>
      </w:r>
      <w:r>
        <w:t>平台</w:t>
      </w:r>
      <w:r>
        <w:rPr>
          <w:rFonts w:hint="eastAsia"/>
        </w:rPr>
        <w:t>，营造小微企业发展良好氛围</w:t>
      </w:r>
      <w:r>
        <w:t>。</w:t>
      </w:r>
    </w:p>
    <w:p>
      <w:pPr>
        <w:spacing w:line="560" w:lineRule="exact"/>
        <w:ind w:firstLine="632" w:firstLineChars="200"/>
        <w:rPr>
          <w:b/>
          <w:bCs/>
        </w:rPr>
      </w:pPr>
      <w:r>
        <w:rPr>
          <w:rFonts w:hint="eastAsia"/>
          <w:b/>
          <w:bCs/>
        </w:rPr>
        <w:t>开发引导：</w:t>
      </w:r>
    </w:p>
    <w:p>
      <w:pPr>
        <w:spacing w:line="560" w:lineRule="exact"/>
        <w:ind w:firstLine="632" w:firstLineChars="200"/>
        <w:rPr>
          <w:rFonts w:ascii="Times New Roman" w:hAnsi="Times New Roman" w:cs="Times New Roman"/>
          <w:szCs w:val="22"/>
        </w:rPr>
      </w:pPr>
      <w:r>
        <w:rPr>
          <w:rFonts w:hint="eastAsia"/>
          <w:b/>
          <w:bCs/>
        </w:rPr>
        <w:t>——</w:t>
      </w:r>
      <w:r>
        <w:rPr>
          <w:b/>
          <w:bCs/>
        </w:rPr>
        <w:t>电子电器产业园</w:t>
      </w:r>
      <w:r>
        <w:rPr>
          <w:rFonts w:hint="eastAsia"/>
          <w:b/>
          <w:bCs/>
        </w:rPr>
        <w:t>。</w:t>
      </w:r>
      <w:r>
        <w:t>进一步发挥电子电器同业“总部＋基地”模式运转优势，探索信息共享、平台资源融合的发展路子，抱团发展，做强做大。</w:t>
      </w:r>
    </w:p>
    <w:p>
      <w:pPr>
        <w:spacing w:line="560" w:lineRule="exact"/>
        <w:ind w:firstLine="632" w:firstLineChars="200"/>
      </w:pPr>
      <w:r>
        <w:rPr>
          <w:rFonts w:hint="eastAsia"/>
          <w:b/>
          <w:bCs/>
        </w:rPr>
        <w:t>——</w:t>
      </w:r>
      <w:r>
        <w:rPr>
          <w:b/>
          <w:bCs/>
        </w:rPr>
        <w:t>机械汽配产业园</w:t>
      </w:r>
      <w:r>
        <w:rPr>
          <w:rFonts w:hint="eastAsia"/>
          <w:b/>
          <w:bCs/>
        </w:rPr>
        <w:t>。</w:t>
      </w:r>
      <w:r>
        <w:t>采用企业联建方式，入驻企业为机械汽配及配套为主，园区应强化企业内部协作机制，增强产业链配套能力，以企业空间集聚，促进产业集聚。</w:t>
      </w:r>
    </w:p>
    <w:p>
      <w:pPr>
        <w:spacing w:line="560" w:lineRule="exact"/>
        <w:ind w:firstLine="632" w:firstLineChars="200"/>
      </w:pPr>
      <w:r>
        <w:rPr>
          <w:rFonts w:hint="eastAsia"/>
          <w:b/>
          <w:bCs/>
        </w:rPr>
        <w:t>——</w:t>
      </w:r>
      <w:r>
        <w:rPr>
          <w:b/>
          <w:bCs/>
        </w:rPr>
        <w:t>霓屿紫菜现代产业园</w:t>
      </w:r>
      <w:r>
        <w:rPr>
          <w:rFonts w:hint="eastAsia"/>
          <w:b/>
          <w:bCs/>
        </w:rPr>
        <w:t>。</w:t>
      </w:r>
      <w:r>
        <w:t>围绕藻类精深加工产业，重点引入以羊栖菜、紫菜为重点，其它捕捞、养殖品种为补充的水产品深加工企业，培育形成特色产业集群</w:t>
      </w:r>
      <w:r>
        <w:rPr>
          <w:rFonts w:hint="eastAsia"/>
        </w:rPr>
        <w:t>。依托状元岙临港物流，鼓励企业在洞头建立集水产品加工、冷链运输、进出口贸易于一体的渔业冷链智慧物流仓库，建立专业的冷链物流配送网络，打造水产品精深加工聚集区</w:t>
      </w:r>
      <w:r>
        <w:t>。</w:t>
      </w:r>
    </w:p>
    <w:p>
      <w:pPr>
        <w:jc w:val="center"/>
        <w:rPr>
          <w:rFonts w:ascii="黑体" w:hAnsi="黑体" w:eastAsia="黑体" w:cs="黑体"/>
          <w:sz w:val="24"/>
          <w:szCs w:val="24"/>
        </w:rPr>
      </w:pPr>
      <w:r>
        <w:rPr>
          <w:rFonts w:hint="eastAsia" w:ascii="黑体" w:hAnsi="黑体" w:eastAsia="黑体" w:cs="黑体"/>
          <w:sz w:val="24"/>
          <w:szCs w:val="24"/>
        </w:rPr>
        <w:t>表3 “十四五”期间工业小微企业园平台建设情况</w:t>
      </w:r>
    </w:p>
    <w:tbl>
      <w:tblPr>
        <w:tblStyle w:val="21"/>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2650"/>
        <w:gridCol w:w="4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widowControl/>
              <w:spacing w:line="300" w:lineRule="exact"/>
              <w:jc w:val="center"/>
              <w:rPr>
                <w:rFonts w:hAnsi="等线" w:cs="宋体"/>
                <w:kern w:val="0"/>
                <w:sz w:val="20"/>
                <w:szCs w:val="20"/>
              </w:rPr>
            </w:pPr>
            <w:r>
              <w:rPr>
                <w:rFonts w:hint="eastAsia" w:hAnsi="等线" w:cs="宋体"/>
                <w:kern w:val="0"/>
                <w:sz w:val="20"/>
                <w:szCs w:val="20"/>
              </w:rPr>
              <w:t>布局规划</w:t>
            </w:r>
          </w:p>
        </w:tc>
        <w:tc>
          <w:tcPr>
            <w:tcW w:w="2650" w:type="dxa"/>
            <w:vAlign w:val="center"/>
          </w:tcPr>
          <w:p>
            <w:pPr>
              <w:widowControl/>
              <w:spacing w:line="300" w:lineRule="exact"/>
              <w:jc w:val="center"/>
              <w:rPr>
                <w:rFonts w:hAnsi="等线" w:cs="宋体"/>
                <w:kern w:val="0"/>
                <w:sz w:val="20"/>
                <w:szCs w:val="20"/>
              </w:rPr>
            </w:pPr>
            <w:r>
              <w:rPr>
                <w:rFonts w:hint="eastAsia" w:hAnsi="等线" w:cs="宋体"/>
                <w:kern w:val="0"/>
                <w:sz w:val="20"/>
                <w:szCs w:val="20"/>
              </w:rPr>
              <w:t>园区规模</w:t>
            </w:r>
          </w:p>
        </w:tc>
        <w:tc>
          <w:tcPr>
            <w:tcW w:w="4817" w:type="dxa"/>
            <w:vAlign w:val="center"/>
          </w:tcPr>
          <w:p>
            <w:pPr>
              <w:widowControl/>
              <w:spacing w:line="300" w:lineRule="exact"/>
              <w:jc w:val="center"/>
              <w:rPr>
                <w:rFonts w:hAnsi="等线" w:cs="宋体"/>
                <w:kern w:val="0"/>
                <w:sz w:val="20"/>
                <w:szCs w:val="20"/>
              </w:rPr>
            </w:pPr>
            <w:r>
              <w:rPr>
                <w:rFonts w:hint="eastAsia" w:hAnsi="等线" w:cs="宋体"/>
                <w:kern w:val="0"/>
                <w:sz w:val="20"/>
                <w:szCs w:val="20"/>
              </w:rPr>
              <w:t>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widowControl/>
              <w:spacing w:line="300" w:lineRule="exact"/>
              <w:jc w:val="center"/>
              <w:rPr>
                <w:rFonts w:hAnsi="等线" w:cs="宋体"/>
                <w:kern w:val="0"/>
                <w:sz w:val="20"/>
                <w:szCs w:val="20"/>
              </w:rPr>
            </w:pPr>
            <w:r>
              <w:rPr>
                <w:rFonts w:hAnsi="等线" w:cs="宋体"/>
                <w:kern w:val="0"/>
                <w:sz w:val="20"/>
                <w:szCs w:val="20"/>
              </w:rPr>
              <w:t>电子电器科技园</w:t>
            </w:r>
          </w:p>
        </w:tc>
        <w:tc>
          <w:tcPr>
            <w:tcW w:w="2650" w:type="dxa"/>
            <w:vAlign w:val="center"/>
          </w:tcPr>
          <w:p>
            <w:pPr>
              <w:widowControl/>
              <w:spacing w:line="300" w:lineRule="exact"/>
              <w:jc w:val="center"/>
              <w:rPr>
                <w:rFonts w:hAnsi="等线" w:cs="宋体"/>
                <w:kern w:val="0"/>
                <w:sz w:val="20"/>
                <w:szCs w:val="20"/>
              </w:rPr>
            </w:pPr>
            <w:r>
              <w:rPr>
                <w:rFonts w:hAnsi="等线" w:cs="宋体"/>
                <w:kern w:val="0"/>
                <w:sz w:val="20"/>
                <w:szCs w:val="20"/>
              </w:rPr>
              <w:t>51.16亩地</w:t>
            </w:r>
          </w:p>
          <w:p>
            <w:pPr>
              <w:widowControl/>
              <w:spacing w:line="300" w:lineRule="exact"/>
              <w:jc w:val="center"/>
              <w:rPr>
                <w:rFonts w:hAnsi="等线" w:cs="宋体"/>
                <w:kern w:val="0"/>
                <w:sz w:val="20"/>
                <w:szCs w:val="20"/>
              </w:rPr>
            </w:pPr>
            <w:r>
              <w:rPr>
                <w:rFonts w:hint="eastAsia" w:hAnsi="等线" w:cs="宋体"/>
                <w:kern w:val="0"/>
                <w:sz w:val="20"/>
                <w:szCs w:val="20"/>
              </w:rPr>
              <w:t>（</w:t>
            </w:r>
            <w:r>
              <w:rPr>
                <w:rFonts w:hAnsi="等线" w:cs="宋体"/>
                <w:kern w:val="0"/>
                <w:sz w:val="20"/>
                <w:szCs w:val="20"/>
              </w:rPr>
              <w:t>南塘工业区B-07b地块</w:t>
            </w:r>
            <w:r>
              <w:rPr>
                <w:rFonts w:hint="eastAsia" w:hAnsi="等线" w:cs="宋体"/>
                <w:kern w:val="0"/>
                <w:sz w:val="20"/>
                <w:szCs w:val="20"/>
              </w:rPr>
              <w:t>）</w:t>
            </w:r>
          </w:p>
        </w:tc>
        <w:tc>
          <w:tcPr>
            <w:tcW w:w="4817" w:type="dxa"/>
            <w:vAlign w:val="center"/>
          </w:tcPr>
          <w:p>
            <w:pPr>
              <w:widowControl/>
              <w:spacing w:line="300" w:lineRule="exact"/>
              <w:jc w:val="center"/>
              <w:rPr>
                <w:rFonts w:hAnsi="等线" w:cs="宋体"/>
                <w:kern w:val="0"/>
                <w:sz w:val="20"/>
                <w:szCs w:val="20"/>
              </w:rPr>
            </w:pPr>
            <w:r>
              <w:rPr>
                <w:rFonts w:hAnsi="等线" w:cs="宋体"/>
                <w:kern w:val="0"/>
                <w:sz w:val="20"/>
                <w:szCs w:val="20"/>
              </w:rPr>
              <w:t>电子电器</w:t>
            </w:r>
            <w:r>
              <w:rPr>
                <w:rFonts w:hint="eastAsia" w:hAnsi="等线" w:cs="宋体"/>
                <w:kern w:val="0"/>
                <w:sz w:val="20"/>
                <w:szCs w:val="20"/>
              </w:rPr>
              <w:t>（</w:t>
            </w:r>
            <w:r>
              <w:rPr>
                <w:rFonts w:hAnsi="等线" w:cs="宋体"/>
                <w:kern w:val="0"/>
                <w:sz w:val="20"/>
                <w:szCs w:val="20"/>
              </w:rPr>
              <w:t>主要吸纳居民区内电子电器企业进园集聚</w:t>
            </w:r>
            <w:r>
              <w:rPr>
                <w:rFonts w:hint="eastAsia" w:hAnsi="等线"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widowControl/>
              <w:spacing w:line="300" w:lineRule="exact"/>
              <w:jc w:val="center"/>
              <w:rPr>
                <w:rFonts w:hAnsi="等线" w:cs="宋体"/>
                <w:kern w:val="0"/>
                <w:sz w:val="20"/>
                <w:szCs w:val="20"/>
              </w:rPr>
            </w:pPr>
            <w:r>
              <w:rPr>
                <w:rFonts w:hAnsi="等线" w:cs="宋体"/>
                <w:kern w:val="0"/>
                <w:sz w:val="20"/>
                <w:szCs w:val="20"/>
              </w:rPr>
              <w:t>机械汽配产业园</w:t>
            </w:r>
          </w:p>
        </w:tc>
        <w:tc>
          <w:tcPr>
            <w:tcW w:w="2650" w:type="dxa"/>
            <w:vAlign w:val="center"/>
          </w:tcPr>
          <w:p>
            <w:pPr>
              <w:widowControl/>
              <w:spacing w:line="300" w:lineRule="exact"/>
              <w:jc w:val="center"/>
              <w:rPr>
                <w:rFonts w:hAnsi="等线" w:cs="宋体"/>
                <w:kern w:val="0"/>
                <w:sz w:val="20"/>
                <w:szCs w:val="20"/>
              </w:rPr>
            </w:pPr>
            <w:r>
              <w:rPr>
                <w:rFonts w:hAnsi="等线" w:cs="宋体"/>
                <w:kern w:val="0"/>
                <w:sz w:val="20"/>
                <w:szCs w:val="20"/>
              </w:rPr>
              <w:t>90.28亩地</w:t>
            </w:r>
          </w:p>
          <w:p>
            <w:pPr>
              <w:widowControl/>
              <w:spacing w:line="300" w:lineRule="exact"/>
              <w:jc w:val="center"/>
              <w:rPr>
                <w:rFonts w:hAnsi="等线" w:cs="宋体"/>
                <w:kern w:val="0"/>
                <w:sz w:val="20"/>
                <w:szCs w:val="20"/>
              </w:rPr>
            </w:pPr>
            <w:r>
              <w:rPr>
                <w:rFonts w:hint="eastAsia" w:hAnsi="等线" w:cs="宋体"/>
                <w:kern w:val="0"/>
                <w:sz w:val="20"/>
                <w:szCs w:val="20"/>
              </w:rPr>
              <w:t>（</w:t>
            </w:r>
            <w:r>
              <w:rPr>
                <w:rFonts w:hAnsi="等线" w:cs="宋体"/>
                <w:kern w:val="0"/>
                <w:sz w:val="20"/>
                <w:szCs w:val="20"/>
              </w:rPr>
              <w:t>南塘工业区C-02地块</w:t>
            </w:r>
            <w:r>
              <w:rPr>
                <w:rFonts w:hint="eastAsia" w:hAnsi="等线" w:cs="宋体"/>
                <w:kern w:val="0"/>
                <w:sz w:val="20"/>
                <w:szCs w:val="20"/>
              </w:rPr>
              <w:t>）</w:t>
            </w:r>
          </w:p>
        </w:tc>
        <w:tc>
          <w:tcPr>
            <w:tcW w:w="4817" w:type="dxa"/>
            <w:vAlign w:val="center"/>
          </w:tcPr>
          <w:p>
            <w:pPr>
              <w:widowControl/>
              <w:spacing w:line="300" w:lineRule="exact"/>
              <w:jc w:val="center"/>
              <w:rPr>
                <w:rFonts w:hAnsi="等线" w:cs="宋体"/>
                <w:kern w:val="0"/>
                <w:sz w:val="20"/>
                <w:szCs w:val="20"/>
              </w:rPr>
            </w:pPr>
            <w:r>
              <w:rPr>
                <w:rFonts w:hAnsi="等线" w:cs="宋体"/>
                <w:kern w:val="0"/>
                <w:sz w:val="20"/>
                <w:szCs w:val="20"/>
              </w:rPr>
              <w:t>机械汽配</w:t>
            </w:r>
            <w:r>
              <w:rPr>
                <w:rFonts w:hint="eastAsia" w:hAnsi="等线" w:cs="宋体"/>
                <w:kern w:val="0"/>
                <w:sz w:val="20"/>
                <w:szCs w:val="20"/>
              </w:rPr>
              <w:t>（</w:t>
            </w:r>
            <w:r>
              <w:rPr>
                <w:rFonts w:hAnsi="等线" w:cs="宋体"/>
                <w:kern w:val="0"/>
                <w:sz w:val="20"/>
                <w:szCs w:val="20"/>
              </w:rPr>
              <w:t>主要吸纳机械汽配的小微企业进园集聚</w:t>
            </w:r>
            <w:r>
              <w:rPr>
                <w:rFonts w:hint="eastAsia" w:hAnsi="等线"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widowControl/>
              <w:spacing w:line="300" w:lineRule="exact"/>
              <w:jc w:val="center"/>
              <w:rPr>
                <w:rFonts w:hAnsi="等线" w:cs="宋体"/>
                <w:kern w:val="0"/>
                <w:sz w:val="20"/>
                <w:szCs w:val="20"/>
              </w:rPr>
            </w:pPr>
            <w:r>
              <w:rPr>
                <w:rFonts w:hAnsi="等线" w:cs="宋体"/>
                <w:kern w:val="0"/>
                <w:sz w:val="20"/>
                <w:szCs w:val="20"/>
              </w:rPr>
              <w:t>霓屿紫菜现代产业园</w:t>
            </w:r>
          </w:p>
        </w:tc>
        <w:tc>
          <w:tcPr>
            <w:tcW w:w="2650" w:type="dxa"/>
            <w:vAlign w:val="center"/>
          </w:tcPr>
          <w:p>
            <w:pPr>
              <w:widowControl/>
              <w:spacing w:line="300" w:lineRule="exact"/>
              <w:jc w:val="center"/>
              <w:rPr>
                <w:rFonts w:hAnsi="等线" w:cs="宋体"/>
                <w:kern w:val="0"/>
                <w:sz w:val="20"/>
                <w:szCs w:val="20"/>
              </w:rPr>
            </w:pPr>
            <w:r>
              <w:rPr>
                <w:rFonts w:hAnsi="等线" w:cs="宋体"/>
                <w:kern w:val="0"/>
                <w:sz w:val="20"/>
                <w:szCs w:val="20"/>
              </w:rPr>
              <w:t>霓屿街道网僚鼻</w:t>
            </w:r>
          </w:p>
        </w:tc>
        <w:tc>
          <w:tcPr>
            <w:tcW w:w="4817" w:type="dxa"/>
            <w:vAlign w:val="center"/>
          </w:tcPr>
          <w:p>
            <w:pPr>
              <w:widowControl/>
              <w:spacing w:line="300" w:lineRule="exact"/>
              <w:jc w:val="center"/>
              <w:rPr>
                <w:rFonts w:hAnsi="等线" w:cs="宋体"/>
                <w:kern w:val="0"/>
                <w:sz w:val="20"/>
                <w:szCs w:val="20"/>
              </w:rPr>
            </w:pPr>
            <w:r>
              <w:rPr>
                <w:rFonts w:hAnsi="等线" w:cs="宋体"/>
                <w:kern w:val="0"/>
                <w:sz w:val="20"/>
                <w:szCs w:val="20"/>
              </w:rPr>
              <w:t>水产品、食品加工</w:t>
            </w:r>
            <w:r>
              <w:rPr>
                <w:rFonts w:hint="eastAsia" w:hAnsi="等线" w:cs="宋体"/>
                <w:kern w:val="0"/>
                <w:sz w:val="20"/>
                <w:szCs w:val="20"/>
              </w:rPr>
              <w:t>（</w:t>
            </w:r>
            <w:r>
              <w:rPr>
                <w:rFonts w:hAnsi="等线" w:cs="宋体"/>
                <w:kern w:val="0"/>
                <w:sz w:val="20"/>
                <w:szCs w:val="20"/>
              </w:rPr>
              <w:t>利用水产品养殖、加工的传统优势</w:t>
            </w:r>
            <w:r>
              <w:rPr>
                <w:rFonts w:hint="eastAsia" w:hAnsi="等线" w:cs="宋体"/>
                <w:kern w:val="0"/>
                <w:sz w:val="20"/>
                <w:szCs w:val="20"/>
              </w:rPr>
              <w:t>，</w:t>
            </w:r>
            <w:r>
              <w:rPr>
                <w:rFonts w:hAnsi="等线" w:cs="宋体"/>
                <w:kern w:val="0"/>
                <w:sz w:val="20"/>
                <w:szCs w:val="20"/>
              </w:rPr>
              <w:t>吸纳优质、科技型、高成长型水产品、食品加工行业的小微企业入驻园区</w:t>
            </w:r>
            <w:r>
              <w:rPr>
                <w:rFonts w:hint="eastAsia" w:hAnsi="等线" w:cs="宋体"/>
                <w:kern w:val="0"/>
                <w:sz w:val="20"/>
                <w:szCs w:val="20"/>
              </w:rPr>
              <w:t>）</w:t>
            </w:r>
          </w:p>
        </w:tc>
      </w:tr>
      <w:bookmarkEnd w:id="91"/>
    </w:tbl>
    <w:p>
      <w:pPr>
        <w:pStyle w:val="5"/>
        <w:spacing w:line="560" w:lineRule="exact"/>
        <w:ind w:firstLine="632" w:firstLineChars="200"/>
        <w:jc w:val="both"/>
        <w:rPr>
          <w:rFonts w:ascii="黑体" w:hAnsi="黑体" w:eastAsia="黑体" w:cstheme="minorBidi"/>
          <w:b w:val="0"/>
          <w:color w:val="auto"/>
          <w:sz w:val="32"/>
          <w:lang w:val="en-US"/>
        </w:rPr>
      </w:pPr>
      <w:bookmarkStart w:id="116" w:name="_Toc29393"/>
      <w:bookmarkStart w:id="117" w:name="_Toc16470"/>
      <w:bookmarkStart w:id="118" w:name="_Toc28174"/>
      <w:r>
        <w:rPr>
          <w:rFonts w:hint="eastAsia" w:ascii="黑体" w:hAnsi="黑体" w:eastAsia="黑体" w:cstheme="minorBidi"/>
          <w:b w:val="0"/>
          <w:color w:val="auto"/>
          <w:sz w:val="32"/>
          <w:lang w:val="en-US"/>
        </w:rPr>
        <w:t>四、推动工业与科技、信息化协同发展</w:t>
      </w:r>
      <w:bookmarkEnd w:id="116"/>
      <w:bookmarkEnd w:id="117"/>
      <w:bookmarkEnd w:id="118"/>
    </w:p>
    <w:p>
      <w:pPr>
        <w:pStyle w:val="6"/>
        <w:spacing w:before="0" w:after="0" w:line="560" w:lineRule="exact"/>
        <w:ind w:firstLine="632" w:firstLineChars="200"/>
        <w:rPr>
          <w:rFonts w:ascii="楷体" w:hAnsi="楷体" w:eastAsia="楷体" w:cs="楷体"/>
          <w:b w:val="0"/>
          <w:bCs w:val="0"/>
        </w:rPr>
      </w:pPr>
      <w:bookmarkStart w:id="119" w:name="_Toc23231"/>
      <w:bookmarkStart w:id="120" w:name="_Toc31484"/>
      <w:bookmarkStart w:id="121" w:name="_Toc17208"/>
      <w:bookmarkStart w:id="122" w:name="_Toc1895650370"/>
      <w:bookmarkStart w:id="123" w:name="_Toc22968"/>
      <w:bookmarkStart w:id="124" w:name="_Toc11432"/>
      <w:bookmarkStart w:id="125" w:name="_Toc1096244265"/>
      <w:r>
        <w:rPr>
          <w:rFonts w:hint="eastAsia" w:ascii="楷体" w:hAnsi="楷体" w:eastAsia="楷体" w:cs="楷体"/>
          <w:b w:val="0"/>
          <w:bCs w:val="0"/>
        </w:rPr>
        <w:t>（一）传统产业转型升级</w:t>
      </w:r>
      <w:bookmarkEnd w:id="119"/>
      <w:bookmarkEnd w:id="120"/>
      <w:bookmarkEnd w:id="121"/>
    </w:p>
    <w:bookmarkEnd w:id="122"/>
    <w:bookmarkEnd w:id="123"/>
    <w:bookmarkEnd w:id="124"/>
    <w:p>
      <w:pPr>
        <w:spacing w:line="560" w:lineRule="exact"/>
        <w:ind w:firstLine="632" w:firstLineChars="200"/>
        <w:outlineLvl w:val="2"/>
        <w:rPr>
          <w:b/>
          <w:bCs/>
        </w:rPr>
      </w:pPr>
      <w:bookmarkStart w:id="126" w:name="_Toc9400"/>
      <w:bookmarkStart w:id="127" w:name="_Toc13978"/>
      <w:bookmarkStart w:id="128" w:name="_Toc1273423334"/>
      <w:r>
        <w:rPr>
          <w:rFonts w:hint="eastAsia"/>
          <w:b/>
          <w:bCs/>
        </w:rPr>
        <w:t>1.临港石化产业</w:t>
      </w:r>
    </w:p>
    <w:p>
      <w:pPr>
        <w:spacing w:line="560" w:lineRule="exact"/>
        <w:ind w:firstLine="632" w:firstLineChars="200"/>
        <w:rPr>
          <w:b/>
          <w:bCs/>
        </w:rPr>
      </w:pPr>
      <w:r>
        <w:rPr>
          <w:rFonts w:hint="eastAsia"/>
        </w:rPr>
        <w:t>以洞头大小门石化产业基地为核心，依托滩涂围垦洞头2</w:t>
      </w:r>
      <w:r>
        <w:t>6.6</w:t>
      </w:r>
      <w:r>
        <w:rPr>
          <w:rFonts w:hint="eastAsia"/>
        </w:rPr>
        <w:t>万亩1</w:t>
      </w:r>
      <w:r>
        <w:t>0</w:t>
      </w:r>
      <w:r>
        <w:rPr>
          <w:rFonts w:hint="eastAsia"/>
        </w:rPr>
        <w:t>米等深线以内前海面积，1</w:t>
      </w:r>
      <w:r>
        <w:t>2.31</w:t>
      </w:r>
      <w:r>
        <w:rPr>
          <w:rFonts w:hint="eastAsia"/>
        </w:rPr>
        <w:t>万亩滩涂资源面积（其中可围涂造地滩涂资源为1</w:t>
      </w:r>
      <w:r>
        <w:t>1.83</w:t>
      </w:r>
      <w:r>
        <w:rPr>
          <w:rFonts w:hint="eastAsia"/>
        </w:rPr>
        <w:t>万亩）浅海滩涂资源，大力推进“临港石化百亿工程”，加快引进培育精细化工及新材料产业，形成具有一定规模、技术先进的上下游一体化的临港石化产业体系，巩固并提高其支柱产业地位,建设成为</w:t>
      </w:r>
      <w:bookmarkStart w:id="129" w:name="_T428398"/>
      <w:bookmarkEnd w:id="129"/>
      <w:r>
        <w:rPr>
          <w:rFonts w:hint="eastAsia"/>
        </w:rPr>
        <w:t>甬台温临港产业示范基地。</w:t>
      </w:r>
      <w:r>
        <w:rPr>
          <w:rFonts w:hint="eastAsia"/>
          <w:b/>
          <w:bCs/>
        </w:rPr>
        <w:t>至2025年，临港石化产业规上工业总产值突破43亿元，成为洞头区经济发展重要增长极与温州工业经济重要增长点。</w:t>
      </w:r>
    </w:p>
    <w:p>
      <w:pPr>
        <w:spacing w:line="560" w:lineRule="exact"/>
        <w:ind w:firstLine="632" w:firstLineChars="200"/>
      </w:pPr>
      <w:r>
        <w:rPr>
          <w:rFonts w:hint="eastAsia"/>
          <w:b/>
          <w:bCs/>
        </w:rPr>
        <w:t>——石化产业</w:t>
      </w:r>
      <w:r>
        <w:rPr>
          <w:rFonts w:hint="eastAsia"/>
        </w:rPr>
        <w:t>以引进培育精细化工及新材料产业为主攻方向，突出临港特色、海洋特色，结合我市化工升级要求，开发高性能、高附加值、绿色环保的精细化工产品，在医药保健品、电子化学品、特种聚合物、复合材料、助剂等领域择机发展相关产品。整合中燃、中石油、浙能源等在洞央企共建石化新材料研究院，建立完善研发活动组织管理制度、科研合作机制，共同组建专家团队，对企业重点难点项目进行攻坚，助力石化整体产业链快速发展。鼓励临港石化产业拓能延链，向精细石化方向延伸，积极推进绿色石化产业集群化发展。乙烯产品重点拓展环氧乙烷、苯乙烯、醋酸乙烯、乙丙橡胶等石化产品链；丙烯产品重点拓展环氧丙烷、丙烯腈、丙烯酸（酯）、聚丙烯（PP）、异丙苯/苯酚/丙酮、丁醇/辛醇和乙丙橡胶等石化产品链。推进天然气（LNG）产业链建设，以浙江浙能温州液化天然气有限公司为链条主企业，重点推进温州液化天然气（LNG）接收站项目建设、温州华港液化天然气（LNG）储运调峰中心等项目建设，打造区域性的重要海洋能源开发创新基地。加快天然气（LNG）制烯烃项目进度，加快招引推进以LNG为燃料支撑的9H燃机发电、6F燃机、LNG下游配套等项目落地建设。依托温州中石油燃料沥青生产基础，逐步优化基础石油制品产品结构。</w:t>
      </w:r>
    </w:p>
    <w:p>
      <w:pPr>
        <w:spacing w:line="560" w:lineRule="exact"/>
        <w:ind w:firstLine="632" w:firstLineChars="200"/>
        <w:outlineLvl w:val="2"/>
        <w:rPr>
          <w:b/>
          <w:bCs/>
        </w:rPr>
      </w:pPr>
      <w:r>
        <w:rPr>
          <w:rFonts w:hint="eastAsia"/>
          <w:b/>
          <w:bCs/>
        </w:rPr>
        <w:t>2.智能高端制造产业</w:t>
      </w:r>
    </w:p>
    <w:p>
      <w:pPr>
        <w:spacing w:line="560" w:lineRule="exact"/>
        <w:ind w:firstLine="632" w:firstLineChars="200"/>
        <w:rPr>
          <w:b/>
          <w:bCs/>
        </w:rPr>
      </w:pPr>
      <w:r>
        <w:rPr>
          <w:rFonts w:hint="eastAsia" w:ascii="Times New Roman" w:hAnsi="Times New Roman" w:cs="Times New Roman"/>
          <w:szCs w:val="22"/>
        </w:rPr>
        <w:t>以我区传统机械汽配产业、电子电器产业为基础，瞄准国家重大工程项目、支柱产业（高铁动车、新能源汽车）的重大需求，大力发展智能电器、电子元件、电力智能控制等高端制造业，谋划建设智能高端制造科创园，把洞头打造成浙南重要智能高端制造业基地。</w:t>
      </w:r>
      <w:r>
        <w:rPr>
          <w:rFonts w:hint="eastAsia"/>
          <w:b/>
          <w:bCs/>
        </w:rPr>
        <w:t>至2025年，智能高端制造产业规上工业总产值突破10亿元，助力打造新材料产业链，在工业经济高质量发展上趟出一条新路。</w:t>
      </w:r>
    </w:p>
    <w:bookmarkEnd w:id="126"/>
    <w:bookmarkEnd w:id="127"/>
    <w:p>
      <w:pPr>
        <w:spacing w:line="560" w:lineRule="exact"/>
        <w:ind w:firstLine="632" w:firstLineChars="200"/>
      </w:pPr>
      <w:r>
        <w:rPr>
          <w:rFonts w:hint="eastAsia"/>
        </w:rPr>
        <w:t>——</w:t>
      </w:r>
      <w:r>
        <w:rPr>
          <w:rFonts w:hint="eastAsia"/>
          <w:b/>
          <w:bCs/>
        </w:rPr>
        <w:t>机械汽配产业</w:t>
      </w:r>
      <w:r>
        <w:rPr>
          <w:rFonts w:hint="eastAsia"/>
        </w:rPr>
        <w:t>以机械汽配产业园为核心，支持温州市东启汽车零部件制造有限公司、浙江迪特高强度螺栓有限公司等机械汽配企业发展壮大，推进汽车制动系统和冷却系统产品、高强度螺栓等企业专业产品特色化。大力承接温州、瑞安等地泵阀、轴承、汽摩配、标准件优势产业资源外溢和转移，对接瓯江口新能源汽车产业园，发展以新能源汽车整车制造上下游配套为重点零部件以及相关新能源、新材料产业，深化产业链区域分工合作，配合瓯江口新区打造温州市具有影响力的装备制造创新中心</w:t>
      </w:r>
      <w:r>
        <w:tab/>
      </w:r>
      <w:r>
        <w:rPr>
          <w:rFonts w:hint="eastAsia"/>
        </w:rPr>
        <w:t>。</w:t>
      </w:r>
    </w:p>
    <w:p>
      <w:pPr>
        <w:spacing w:line="560" w:lineRule="exact"/>
        <w:ind w:firstLine="632" w:firstLineChars="200"/>
      </w:pPr>
      <w:r>
        <w:rPr>
          <w:rFonts w:hint="eastAsia"/>
        </w:rPr>
        <w:t>——</w:t>
      </w:r>
      <w:r>
        <w:rPr>
          <w:rFonts w:hint="eastAsia"/>
          <w:b/>
          <w:bCs/>
        </w:rPr>
        <w:t>电子电器产业</w:t>
      </w:r>
      <w:r>
        <w:rPr>
          <w:rFonts w:hint="eastAsia"/>
        </w:rPr>
        <w:t>以电子电气产业园为核心，完善电子电器创业园配套服务功能，以开发各类工业测控传感器为主攻方向，借势乐清传感器产业，实现“乐清+洞头”联动发展。配合温州五大传统产业，以汽摩配、阀门、仪器仪表等为主要配套方向，专注工业互联网、物联网发展，积极探索在海洋、医疗、智能家具等领域的传感器应用，关注测距传感器、接近传感器、光电传感器、光幕传感器等传统传感器产品技术提升，以传感器重大示范应用工程为牵引，积极提升国产化和本地化传感器的应用水平，带动传感器的市场需求，推动传感器产业各环节协同发展。</w:t>
      </w:r>
    </w:p>
    <w:bookmarkEnd w:id="128"/>
    <w:p>
      <w:pPr>
        <w:spacing w:line="560" w:lineRule="exact"/>
        <w:ind w:firstLine="632" w:firstLineChars="200"/>
        <w:outlineLvl w:val="2"/>
        <w:rPr>
          <w:b/>
          <w:bCs/>
        </w:rPr>
      </w:pPr>
      <w:bookmarkStart w:id="130" w:name="_Toc231"/>
      <w:bookmarkStart w:id="131" w:name="_Toc128381698"/>
      <w:bookmarkStart w:id="132" w:name="_Toc430"/>
      <w:r>
        <w:rPr>
          <w:rFonts w:hint="eastAsia"/>
          <w:b/>
          <w:bCs/>
        </w:rPr>
        <w:t>3.</w:t>
      </w:r>
      <w:r>
        <w:rPr>
          <w:rFonts w:hint="eastAsia"/>
          <w:b/>
          <w:bCs/>
          <w:lang w:val="zh-CN"/>
        </w:rPr>
        <w:t>建材工业</w:t>
      </w:r>
      <w:bookmarkEnd w:id="130"/>
      <w:bookmarkEnd w:id="131"/>
      <w:bookmarkEnd w:id="132"/>
    </w:p>
    <w:p>
      <w:pPr>
        <w:spacing w:line="560" w:lineRule="exact"/>
        <w:ind w:firstLine="632" w:firstLineChars="200"/>
      </w:pPr>
      <w:r>
        <w:rPr>
          <w:rFonts w:hint="eastAsia"/>
          <w:b/>
          <w:bCs/>
        </w:rPr>
        <w:t>发展思路：</w:t>
      </w:r>
      <w:r>
        <w:rPr>
          <w:rFonts w:hint="eastAsia"/>
        </w:rPr>
        <w:t>依托洞头现有预制件装配和建筑材料产业基础，结合经济社会和建材工业发展的新形势，通过相关装备和原辅材料的本地化、技术服务和广泛协作带动产业链上下游企业的发展，构建新型建筑工业化产业体系。</w:t>
      </w:r>
      <w:r>
        <w:rPr>
          <w:rFonts w:hint="eastAsia"/>
          <w:b/>
          <w:bCs/>
        </w:rPr>
        <w:t>至2025年，建材工业规上产业总产值突破14亿元，推动新型建材行业成为工业经济新的战略性支柱产业。</w:t>
      </w:r>
    </w:p>
    <w:p>
      <w:pPr>
        <w:spacing w:line="560" w:lineRule="exact"/>
        <w:ind w:firstLine="632" w:firstLineChars="200"/>
      </w:pPr>
      <w:r>
        <w:rPr>
          <w:rFonts w:hint="eastAsia"/>
        </w:rPr>
        <w:t>——围绕传统建材领域转型升级，复合材料等建材新兴产业发展，全面推进以节能、环保、资源综合利用为代表的建材装备，提高传统建材工业过程的数字化、柔性化和系统集成水平，开发智能化建材成套技术装备、装配式建筑围护系统预制外墙技术，培育复合材料、碳纤维等建材新兴产业加工装备，加快提升建材装备产业规模和技术水平。充分依托荣和、霓发、昌荣等建筑用石加工企业，策划包装一批新型建材项目，积极对接温州建设集团等主要企业力争一批重大建材项目落地洞头。打造含建筑材料、预制构件生产、设计、施工、运输等在内的绿色建材产业链，发挥集聚效应，实现产业集群式发展。</w:t>
      </w:r>
    </w:p>
    <w:p>
      <w:pPr>
        <w:spacing w:line="560" w:lineRule="exact"/>
        <w:ind w:firstLine="632" w:firstLineChars="200"/>
        <w:outlineLvl w:val="2"/>
        <w:rPr>
          <w:b/>
          <w:bCs/>
        </w:rPr>
      </w:pPr>
      <w:bookmarkStart w:id="133" w:name="_Toc30411"/>
      <w:bookmarkStart w:id="134" w:name="_Toc16325"/>
      <w:r>
        <w:rPr>
          <w:rFonts w:hint="eastAsia"/>
          <w:b/>
          <w:bCs/>
        </w:rPr>
        <w:t>4.海（水）产品加工业</w:t>
      </w:r>
      <w:bookmarkEnd w:id="133"/>
      <w:bookmarkEnd w:id="134"/>
    </w:p>
    <w:p>
      <w:pPr>
        <w:pStyle w:val="3"/>
        <w:spacing w:line="560" w:lineRule="exact"/>
        <w:ind w:firstLine="632" w:firstLineChars="200"/>
        <w:rPr>
          <w:rFonts w:ascii="仿宋_GB2312" w:hAnsi="仿宋_GB2312"/>
          <w:b/>
          <w:sz w:val="32"/>
        </w:rPr>
      </w:pPr>
      <w:r>
        <w:rPr>
          <w:rFonts w:hint="eastAsia" w:ascii="仿宋_GB2312" w:hAnsi="仿宋_GB2312"/>
          <w:b/>
          <w:sz w:val="32"/>
        </w:rPr>
        <w:t>发展思路：</w:t>
      </w:r>
      <w:r>
        <w:rPr>
          <w:rFonts w:hint="eastAsia" w:ascii="仿宋_GB2312" w:hAnsi="仿宋_GB2312"/>
          <w:bCs w:val="0"/>
          <w:sz w:val="32"/>
        </w:rPr>
        <w:t>以南塘工业区、霓屿紫菜现代园为核心，打造水产品精深加工产业集聚区。围绕“两菜一鱼”加快发展以绿色、生态、健康、时尚为特点的特色食品、海（水）产品深加工和海洋动植物提取物等产业。</w:t>
      </w:r>
      <w:r>
        <w:rPr>
          <w:rFonts w:hint="eastAsia" w:ascii="仿宋_GB2312" w:hAnsi="仿宋_GB2312"/>
          <w:b/>
          <w:sz w:val="32"/>
        </w:rPr>
        <w:t>至2025年，海（水）产品加工业规上工业总产值突破1亿元，强化整体、突出优势，做好基础提升及企业入园。</w:t>
      </w:r>
    </w:p>
    <w:p>
      <w:pPr>
        <w:spacing w:line="560" w:lineRule="exact"/>
        <w:ind w:firstLine="632" w:firstLineChars="200"/>
      </w:pPr>
      <w:r>
        <w:rPr>
          <w:rFonts w:hint="eastAsia"/>
        </w:rPr>
        <w:t>——加快推进水产品加工产业功能区和洞头海洋食品基地建设，大力支持本土企业做大做强，对黄鱼岛海洋渔业有限公司、温州鸿海水产有限公司、浙江东一海洋有限公司等一批龙头企业实行重点扶持和动态管理，培育大品牌和绿色海洋食品品牌，支持优势企业筹建海（水）产品加工业产业联盟，打造海（水）产品产业链，使我区成为重要的国家级海洋牧场示范区。围绕海洋食品产业区功能定位，积极发展海洋食品产业，着力引进海洋食品高技术企业，构建以鹿西岛区域为养殖综合体、霓屿紫菜田园为海岛田园综合体的空间布局。</w:t>
      </w:r>
      <w:r>
        <w:t>依托</w:t>
      </w:r>
      <w:r>
        <w:rPr>
          <w:rFonts w:hint="eastAsia"/>
        </w:rPr>
        <w:t>渔业产业</w:t>
      </w:r>
      <w:r>
        <w:t>发展，适时引进海洋通信、海产品加工、船机制造与维修、</w:t>
      </w:r>
      <w:r>
        <w:rPr>
          <w:rFonts w:hint="eastAsia"/>
        </w:rPr>
        <w:t>冷链</w:t>
      </w:r>
      <w:r>
        <w:t>物流等优势企业，完善渔业养殖捕捞、生产加工、物流运输的一体化产业链。</w:t>
      </w:r>
    </w:p>
    <w:p>
      <w:pPr>
        <w:pStyle w:val="6"/>
        <w:spacing w:before="0" w:after="0" w:line="560" w:lineRule="exact"/>
        <w:ind w:firstLine="632" w:firstLineChars="200"/>
        <w:rPr>
          <w:rFonts w:ascii="楷体" w:hAnsi="楷体" w:eastAsia="楷体" w:cs="楷体"/>
          <w:b w:val="0"/>
          <w:bCs w:val="0"/>
        </w:rPr>
      </w:pPr>
      <w:bookmarkStart w:id="135" w:name="_Toc6403"/>
      <w:bookmarkStart w:id="136" w:name="_Toc14846"/>
      <w:bookmarkStart w:id="137" w:name="_Toc25603"/>
      <w:r>
        <w:rPr>
          <w:rFonts w:hint="eastAsia" w:ascii="楷体" w:hAnsi="楷体" w:eastAsia="楷体" w:cs="楷体"/>
          <w:b w:val="0"/>
          <w:bCs w:val="0"/>
        </w:rPr>
        <w:t>（二）海洋新兴产业培育</w:t>
      </w:r>
      <w:bookmarkEnd w:id="135"/>
      <w:bookmarkEnd w:id="136"/>
      <w:bookmarkEnd w:id="137"/>
    </w:p>
    <w:p>
      <w:pPr>
        <w:spacing w:line="560" w:lineRule="exact"/>
        <w:ind w:firstLine="632" w:firstLineChars="200"/>
        <w:outlineLvl w:val="2"/>
        <w:rPr>
          <w:b/>
          <w:bCs/>
        </w:rPr>
      </w:pPr>
      <w:bookmarkStart w:id="138" w:name="_Toc216"/>
      <w:bookmarkStart w:id="139" w:name="_Toc2268"/>
      <w:bookmarkStart w:id="140" w:name="_Toc1315154242"/>
      <w:r>
        <w:rPr>
          <w:rFonts w:hint="eastAsia"/>
          <w:b/>
          <w:bCs/>
        </w:rPr>
        <w:t>1.海洋生物医药产业</w:t>
      </w:r>
      <w:bookmarkEnd w:id="138"/>
      <w:bookmarkEnd w:id="139"/>
      <w:bookmarkEnd w:id="140"/>
    </w:p>
    <w:p>
      <w:pPr>
        <w:spacing w:line="560" w:lineRule="exact"/>
        <w:ind w:firstLine="632" w:firstLineChars="200"/>
        <w:rPr>
          <w:b/>
          <w:bCs/>
        </w:rPr>
      </w:pPr>
      <w:r>
        <w:rPr>
          <w:rFonts w:hint="eastAsia"/>
          <w:b/>
          <w:bCs/>
        </w:rPr>
        <w:t>发展思路：</w:t>
      </w:r>
      <w:r>
        <w:rPr>
          <w:rFonts w:hint="eastAsia"/>
        </w:rPr>
        <w:t>发挥洞头海洋生物资源优势，立足海洋生物医药产业基础，依托海洋生物医药制造项目（年产1000吨超级鱼油EPA及中药项目）等项目，加快向海洋生物科技研发及医疗装备领域拓展，努力吸引全球海洋生物医药重大项目落户，基本形成融入温州产业链连接节点发展的先进制造业集群。</w:t>
      </w:r>
      <w:r>
        <w:rPr>
          <w:rFonts w:hint="eastAsia"/>
          <w:b/>
          <w:bCs/>
        </w:rPr>
        <w:t>至2025年，海洋生物医药产业规上工业总产值突破15亿元，助力洞头区经济快速发展，迈向工业产业高速提升通道。</w:t>
      </w:r>
    </w:p>
    <w:p>
      <w:pPr>
        <w:spacing w:line="560" w:lineRule="exact"/>
        <w:ind w:firstLine="632" w:firstLineChars="200"/>
      </w:pPr>
      <w:r>
        <w:rPr>
          <w:rFonts w:hint="eastAsia"/>
          <w:b/>
          <w:bCs/>
        </w:rPr>
        <w:t>——</w:t>
      </w:r>
      <w:r>
        <w:rPr>
          <w:rFonts w:hint="eastAsia"/>
        </w:rPr>
        <w:t>依托丰富的海洋生物资源，促进海洋生物医药产业、技术和人才集聚。加速提升海洋生物医药产业发展品质的同时，发挥医疗的溢出效应，探索医疗康养产业与生物技术、信息技术、智能制造融合发展的新业态，形成具有较强创新能力和国内竞争力的生物医药产品。支持诚意药业健康产业园建设，加快布局研发中心、制剂大楼、高架仓库及附属设施，聚焦应用研发、成果转化和项目孵化，打造生命健康产业链，助推一批科技成果转化与产业化项目落地实施。</w:t>
      </w:r>
      <w:r>
        <w:rPr>
          <w:rFonts w:hint="eastAsia"/>
          <w:color w:val="000000"/>
          <w:szCs w:val="24"/>
        </w:rPr>
        <w:t>联动瓯江口新区高新技术项目，联合设立海洋生物医药研究中心、新能源研究中心等高能级研发平台,鼓励和引导两地企业在生物医药、节能环保等重点产业领域开展深度合作。</w:t>
      </w:r>
      <w:r>
        <w:rPr>
          <w:rFonts w:hint="eastAsia"/>
        </w:rPr>
        <w:t>通过五年努力，使我区成为全省重要的海洋生物医药基地。</w:t>
      </w:r>
    </w:p>
    <w:bookmarkEnd w:id="125"/>
    <w:p>
      <w:pPr>
        <w:spacing w:line="560" w:lineRule="exact"/>
        <w:ind w:firstLine="632" w:firstLineChars="200"/>
        <w:outlineLvl w:val="2"/>
        <w:rPr>
          <w:b/>
          <w:bCs/>
        </w:rPr>
      </w:pPr>
      <w:bookmarkStart w:id="141" w:name="_Toc30914"/>
      <w:bookmarkStart w:id="142" w:name="_Toc8782"/>
      <w:bookmarkStart w:id="143" w:name="_Toc1555328830"/>
      <w:r>
        <w:rPr>
          <w:rFonts w:hint="eastAsia"/>
          <w:b/>
          <w:bCs/>
        </w:rPr>
        <w:t>2.海洋能源产业</w:t>
      </w:r>
      <w:bookmarkEnd w:id="141"/>
      <w:bookmarkEnd w:id="142"/>
      <w:bookmarkEnd w:id="143"/>
    </w:p>
    <w:p>
      <w:pPr>
        <w:spacing w:line="560" w:lineRule="exact"/>
        <w:ind w:firstLine="632" w:firstLineChars="200"/>
        <w:rPr>
          <w:b/>
          <w:bCs/>
        </w:rPr>
      </w:pPr>
      <w:r>
        <w:rPr>
          <w:rFonts w:hint="eastAsia"/>
          <w:b/>
          <w:bCs/>
        </w:rPr>
        <w:t>发展思路：</w:t>
      </w:r>
      <w:r>
        <w:rPr>
          <w:rFonts w:hint="eastAsia"/>
        </w:rPr>
        <w:t>抢抓海洋战略叠加机遇，依托我区独特的资源禀赋和气候特征，紧紧围绕保护环境和绿色发展的主线，深度挖掘海洋潜力，充分发挥我区的海上风能、太阳能、潮汐能等资源，积极建立有效的技术研发支撑平台，积极发展布局海洋能源产业，推进海上风电场项目建设，</w:t>
      </w:r>
      <w:r>
        <w:rPr>
          <w:rFonts w:hint="eastAsia"/>
          <w:b/>
          <w:bCs/>
        </w:rPr>
        <w:t>打造区域性的重要海洋能源开发创新基地。</w:t>
      </w:r>
    </w:p>
    <w:p>
      <w:pPr>
        <w:spacing w:line="560" w:lineRule="exact"/>
        <w:ind w:firstLine="632" w:firstLineChars="200"/>
      </w:pPr>
      <w:r>
        <w:rPr>
          <w:rFonts w:hint="eastAsia"/>
        </w:rPr>
        <w:t>——以海上风场项目建设为抓手，重点发展智能风电产业加快推进洞头海上风电（一期）项目开发，建设智能海上风机总装和转运基地、智慧能源管理运维服务中心，打造智慧海上风电基地。依托华东电力设计院等高校院所建设海洋能源综合利用研究所，搭建一批产学研用平台，推动海上风能项目研究和落地，探索开展海洋能（潮汐能、波浪能、温差能）和石化产业冷能、燃气能及其综合利用的科学研究、技术开发和人才培养。打造智能风电装备制造产业链，重点发展智能风机、智能风电电气系统、智能风电控制系统、智能电网等高端智能装备制造产业，前瞻性应用工业物联网、人工智能等新技术，打造国内有影响力的智能风电装备制造中心，争取建立海洋能源示范基地。</w:t>
      </w:r>
    </w:p>
    <w:p>
      <w:pPr>
        <w:pStyle w:val="6"/>
        <w:spacing w:before="0" w:after="0" w:line="560" w:lineRule="exact"/>
        <w:ind w:firstLine="632" w:firstLineChars="200"/>
        <w:rPr>
          <w:rFonts w:ascii="楷体" w:hAnsi="楷体" w:eastAsia="楷体" w:cs="楷体"/>
          <w:b w:val="0"/>
          <w:bCs w:val="0"/>
        </w:rPr>
      </w:pPr>
      <w:bookmarkStart w:id="144" w:name="_Toc885"/>
      <w:bookmarkStart w:id="145" w:name="_Toc29692"/>
      <w:bookmarkStart w:id="146" w:name="_Toc10766"/>
      <w:r>
        <w:rPr>
          <w:rFonts w:hint="eastAsia" w:ascii="楷体" w:hAnsi="楷体" w:eastAsia="楷体" w:cs="楷体"/>
          <w:b w:val="0"/>
          <w:bCs w:val="0"/>
        </w:rPr>
        <w:t>（三）科技、信息化创新体系协同发展</w:t>
      </w:r>
      <w:bookmarkEnd w:id="144"/>
      <w:bookmarkEnd w:id="145"/>
      <w:bookmarkEnd w:id="146"/>
    </w:p>
    <w:p>
      <w:pPr>
        <w:spacing w:line="560" w:lineRule="exact"/>
        <w:ind w:firstLine="632" w:firstLineChars="200"/>
        <w:outlineLvl w:val="2"/>
        <w:rPr>
          <w:b/>
          <w:bCs/>
        </w:rPr>
      </w:pPr>
      <w:r>
        <w:rPr>
          <w:rFonts w:hint="eastAsia"/>
          <w:b/>
          <w:bCs/>
        </w:rPr>
        <w:t>1.推动科技创新建设，高质量打造科技创新体系</w:t>
      </w:r>
    </w:p>
    <w:p>
      <w:pPr>
        <w:pStyle w:val="3"/>
        <w:spacing w:line="560" w:lineRule="exact"/>
        <w:ind w:firstLine="632" w:firstLineChars="200"/>
        <w:outlineLvl w:val="2"/>
        <w:rPr>
          <w:rFonts w:ascii="仿宋_GB2312" w:hAnsi="仿宋_GB2312"/>
          <w:bCs w:val="0"/>
          <w:sz w:val="32"/>
        </w:rPr>
      </w:pPr>
      <w:r>
        <w:rPr>
          <w:rFonts w:hint="eastAsia"/>
          <w:bCs w:val="0"/>
          <w:sz w:val="32"/>
        </w:rPr>
        <w:t>以“五化”“五区”战略为引领，扎实推进自创区八大专项行动。</w:t>
      </w:r>
      <w:r>
        <w:rPr>
          <w:rFonts w:hint="eastAsia" w:ascii="仿宋_GB2312" w:hAnsi="仿宋_GB2312"/>
          <w:sz w:val="32"/>
        </w:rPr>
        <w:t>全力实施“1618”工程建设，</w:t>
      </w:r>
      <w:r>
        <w:rPr>
          <w:rFonts w:hint="eastAsia"/>
          <w:bCs w:val="0"/>
          <w:sz w:val="32"/>
        </w:rPr>
        <w:t>坚持打造民营经济创新创业新高地“一条主线”，承接温州“一区一廊一会一室”科创平台溢出效应，大力推进“科技创新百亿工程”，打造科技创新岛。做大做强智能装备、生命健康“两大主导产业”，</w:t>
      </w:r>
      <w:r>
        <w:rPr>
          <w:rFonts w:hint="eastAsia" w:ascii="仿宋_GB2312" w:hAnsi="仿宋" w:cs="仿宋"/>
          <w:color w:val="000000" w:themeColor="text1"/>
          <w:sz w:val="32"/>
          <w14:textFill>
            <w14:solidFill>
              <w14:schemeClr w14:val="tx1"/>
            </w14:solidFill>
          </w14:textFill>
        </w:rPr>
        <w:t>以“产业引领、创新驱动、产城融合”为宗旨，以“高端化、特色化、国际化”为发展方向，以重大项目带动、产城融合建设、高端人才引进为抓手，突出转型升级，加快整合全球创新资源，推动园区特色发展、错位发展。</w:t>
      </w:r>
      <w:r>
        <w:rPr>
          <w:rFonts w:hint="eastAsia" w:ascii="仿宋_GB2312" w:hAnsi="仿宋_GB2312"/>
          <w:sz w:val="32"/>
        </w:rPr>
        <w:t>深化区域政产学研深度合作，</w:t>
      </w:r>
      <w:r>
        <w:rPr>
          <w:rFonts w:hint="eastAsia"/>
          <w:bCs w:val="0"/>
          <w:sz w:val="32"/>
        </w:rPr>
        <w:t>充分发挥洞头在海洋产业领域的独特优</w:t>
      </w:r>
      <w:r>
        <w:rPr>
          <w:rFonts w:hint="eastAsia" w:ascii="仿宋_GB2312" w:hAnsi="仿宋" w:cs="仿宋"/>
          <w:color w:val="000000" w:themeColor="text1"/>
          <w:sz w:val="32"/>
          <w14:textFill>
            <w14:solidFill>
              <w14:schemeClr w14:val="tx1"/>
            </w14:solidFill>
          </w14:textFill>
        </w:rPr>
        <w:t>势，力争建设成为高新技术孵化地、人才生活居住地，为高质量建设海上花园提供科技支撑。</w:t>
      </w:r>
    </w:p>
    <w:p>
      <w:pPr>
        <w:pStyle w:val="3"/>
        <w:spacing w:line="560" w:lineRule="exact"/>
        <w:ind w:firstLine="632" w:firstLineChars="200"/>
        <w:outlineLvl w:val="2"/>
        <w:rPr>
          <w:rFonts w:ascii="仿宋_GB2312" w:hAnsi="仿宋_GB2312"/>
          <w:bCs w:val="0"/>
          <w:sz w:val="32"/>
        </w:rPr>
      </w:pPr>
      <w:r>
        <w:rPr>
          <w:rFonts w:hint="eastAsia"/>
          <w:b/>
          <w:sz w:val="32"/>
        </w:rPr>
        <w:t>发展思路：</w:t>
      </w:r>
      <w:r>
        <w:rPr>
          <w:rFonts w:hint="eastAsia"/>
          <w:bCs w:val="0"/>
          <w:sz w:val="32"/>
        </w:rPr>
        <w:t>围绕科技创新岛建设，</w:t>
      </w:r>
      <w:r>
        <w:rPr>
          <w:rFonts w:hint="eastAsia" w:ascii="仿宋_GB2312" w:hAnsi="仿宋_GB2312"/>
          <w:bCs w:val="0"/>
          <w:sz w:val="32"/>
        </w:rPr>
        <w:t>聚焦产业发展需求强化应用基础研究，主动谋划和前瞻布局高能级平台载体；打通创新全链条，加速催生原始创新成果，强力推进关键核心技术攻关；培育壮大创新主体，充分发挥市场、企业在技术创新资源配置中的决定性作用；统筹人才资源，坚持培养引进双轮驱动；加快构建适应“四新”经济发展的体制机制和政策环境，系统构建“产学研用金、才政介美云”十联动创新创业生态系统。</w:t>
      </w:r>
    </w:p>
    <w:p>
      <w:pPr>
        <w:ind w:firstLine="632" w:firstLineChars="200"/>
        <w:rPr>
          <w:rFonts w:hAnsi="仿宋" w:cs="仿宋"/>
          <w:b/>
          <w:bCs/>
          <w:color w:val="000000" w:themeColor="text1"/>
          <w14:textFill>
            <w14:solidFill>
              <w14:schemeClr w14:val="tx1"/>
            </w14:solidFill>
          </w14:textFill>
        </w:rPr>
      </w:pPr>
      <w:r>
        <w:rPr>
          <w:rFonts w:hint="eastAsia" w:hAnsi="仿宋" w:cs="仿宋"/>
          <w:b/>
          <w:bCs/>
          <w:color w:val="000000" w:themeColor="text1"/>
          <w14:textFill>
            <w14:solidFill>
              <w14:schemeClr w14:val="tx1"/>
            </w14:solidFill>
          </w14:textFill>
        </w:rPr>
        <w:t>——培育壮大创新型企业。</w:t>
      </w:r>
      <w:r>
        <w:rPr>
          <w:rFonts w:hint="eastAsia" w:hAnsiTheme="minorHAnsi" w:cstheme="minorBidi"/>
          <w:color w:val="000000" w:themeColor="text1"/>
          <w14:textFill>
            <w14:solidFill>
              <w14:schemeClr w14:val="tx1"/>
            </w14:solidFill>
          </w14:textFill>
        </w:rPr>
        <w:t>实施科技企业新“双倍增”计划、创新型领军企业“百家计划”，推进高新技术企业后备培育工程，构建“微成长、小升高、高壮大”的企业梯次培育机制，加快</w:t>
      </w:r>
      <w:r>
        <w:rPr>
          <w:rFonts w:hint="eastAsia"/>
          <w:color w:val="000000" w:themeColor="text1"/>
          <w14:textFill>
            <w14:solidFill>
              <w14:schemeClr w14:val="tx1"/>
            </w14:solidFill>
          </w14:textFill>
        </w:rPr>
        <w:t>培育一批省科技型企业、</w:t>
      </w:r>
      <w:r>
        <w:rPr>
          <w:rFonts w:hint="eastAsia"/>
          <w:bCs/>
          <w:color w:val="000000" w:themeColor="text1"/>
          <w14:textFill>
            <w14:solidFill>
              <w14:schemeClr w14:val="tx1"/>
            </w14:solidFill>
          </w14:textFill>
        </w:rPr>
        <w:t>高成长型企业</w:t>
      </w:r>
      <w:r>
        <w:rPr>
          <w:rFonts w:hint="eastAsia"/>
          <w:color w:val="000000" w:themeColor="text1"/>
          <w14:textFill>
            <w14:solidFill>
              <w14:schemeClr w14:val="tx1"/>
            </w14:solidFill>
          </w14:textFill>
        </w:rPr>
        <w:t>、高新技术企业和创新型领军企业</w:t>
      </w:r>
      <w:r>
        <w:rPr>
          <w:rFonts w:hint="eastAsia" w:hAnsiTheme="minorHAnsi" w:cstheme="minorBidi"/>
          <w:color w:val="000000" w:themeColor="text1"/>
          <w14:textFill>
            <w14:solidFill>
              <w14:schemeClr w14:val="tx1"/>
            </w14:solidFill>
          </w14:textFill>
        </w:rPr>
        <w:t>。深入实施“雄鹰行动”，切实加强诚意药业、</w:t>
      </w:r>
      <w:r>
        <w:rPr>
          <w:rFonts w:hint="eastAsia"/>
        </w:rPr>
        <w:t>浙能、华港等</w:t>
      </w:r>
      <w:r>
        <w:rPr>
          <w:rFonts w:hint="eastAsia" w:hAnsiTheme="minorHAnsi" w:cstheme="minorBidi"/>
          <w:color w:val="000000" w:themeColor="text1"/>
          <w14:textFill>
            <w14:solidFill>
              <w14:schemeClr w14:val="tx1"/>
            </w14:solidFill>
          </w14:textFill>
        </w:rPr>
        <w:t>具有打造产业链潜力和竞争力的“头部企业”培育力度，发挥大企业引领支撑作用，支持创新型中小微企业成长，推动产业链上中下游、大中小企业融通创新。大力推进“凤凰行动”，支持更多优质民营科技型企业在境内外上市、挂牌。至2025年，</w:t>
      </w:r>
      <w:r>
        <w:rPr>
          <w:rFonts w:hint="eastAsia"/>
        </w:rPr>
        <w:t>累计新增产值10亿元以上高新技术企业1家、产值1亿元以上的省科技型企业10家以上，高新技术产业增加值占规上工业增加值比重达到60%以上。</w:t>
      </w:r>
    </w:p>
    <w:p>
      <w:pPr>
        <w:spacing w:line="560" w:lineRule="exact"/>
        <w:ind w:firstLine="632" w:firstLineChars="200"/>
        <w:rPr>
          <w:rFonts w:hAnsiTheme="minorHAnsi" w:cstheme="minorBidi"/>
          <w:color w:val="000000" w:themeColor="text1"/>
          <w14:textFill>
            <w14:solidFill>
              <w14:schemeClr w14:val="tx1"/>
            </w14:solidFill>
          </w14:textFill>
        </w:rPr>
      </w:pPr>
      <w:r>
        <w:rPr>
          <w:rFonts w:hint="eastAsia" w:hAnsi="仿宋" w:cs="仿宋"/>
          <w:b/>
          <w:bCs/>
          <w:color w:val="000000" w:themeColor="text1"/>
          <w14:textFill>
            <w14:solidFill>
              <w14:schemeClr w14:val="tx1"/>
            </w14:solidFill>
          </w14:textFill>
        </w:rPr>
        <w:t>——加速打通创新全链条。</w:t>
      </w:r>
      <w:r>
        <w:rPr>
          <w:rFonts w:hint="eastAsia" w:hAnsi="黑体" w:cs="黑体"/>
        </w:rPr>
        <w:t>谋划打造创新产业链，</w:t>
      </w:r>
      <w:r>
        <w:rPr>
          <w:rFonts w:hint="eastAsia" w:hAnsi="仿宋" w:cs="仿宋"/>
          <w:color w:val="000000" w:themeColor="text1"/>
          <w:szCs w:val="40"/>
          <w14:textFill>
            <w14:solidFill>
              <w14:schemeClr w14:val="tx1"/>
            </w14:solidFill>
          </w14:textFill>
        </w:rPr>
        <w:t>形成基础研究、技术开发、成果转化和产业创新全流程创新产业链，</w:t>
      </w:r>
      <w:r>
        <w:rPr>
          <w:rFonts w:hint="eastAsia" w:hAnsi="黑体" w:cs="黑体"/>
        </w:rPr>
        <w:t>围绕产业链优化创新链，依托创新链提升产业链，促</w:t>
      </w:r>
      <w:r>
        <w:rPr>
          <w:rFonts w:hint="eastAsia" w:hAnsi="Calibri"/>
        </w:rPr>
        <w:t>进产业链与创新链精准对接。</w:t>
      </w:r>
      <w:r>
        <w:rPr>
          <w:rFonts w:ascii="Times New Roman" w:hAnsi="Times New Roman" w:cs="Times New Roman"/>
          <w:snapToGrid w:val="0"/>
        </w:rPr>
        <w:t>鼓励龙头企业建立产业链上下游企业共同体，推进产业链上中下游、大中小企业的协同创新</w:t>
      </w:r>
      <w:r>
        <w:rPr>
          <w:rFonts w:hint="eastAsia" w:ascii="Times New Roman" w:hAnsi="Times New Roman" w:cs="Times New Roman"/>
          <w:snapToGrid w:val="0"/>
        </w:rPr>
        <w:t>。</w:t>
      </w:r>
      <w:r>
        <w:rPr>
          <w:rFonts w:hint="eastAsia" w:hAnsiTheme="minorHAnsi" w:cstheme="minorBidi"/>
          <w:color w:val="000000" w:themeColor="text1"/>
          <w14:textFill>
            <w14:solidFill>
              <w14:schemeClr w14:val="tx1"/>
            </w14:solidFill>
          </w14:textFill>
        </w:rPr>
        <w:t xml:space="preserve">围绕传统产业转型升级和海洋新兴产业培育两大发展方向，选择临港石化、海洋生物医药等独具洞头特色优势领域 </w:t>
      </w:r>
      <w:r>
        <w:rPr>
          <w:rFonts w:hint="eastAsia"/>
        </w:rPr>
        <w:t>，</w:t>
      </w:r>
      <w:r>
        <w:rPr>
          <w:rFonts w:hint="eastAsia" w:hAnsi="Calibri"/>
          <w:color w:val="000000" w:themeColor="text1"/>
          <w14:textFill>
            <w14:solidFill>
              <w14:schemeClr w14:val="tx1"/>
            </w14:solidFill>
          </w14:textFill>
        </w:rPr>
        <w:t>实施创新链贯通工程，强化创新链产业链精准对接，提高产业链附加值，实现科技创新与商业化路径有机结合；</w:t>
      </w:r>
      <w:r>
        <w:rPr>
          <w:rFonts w:hint="eastAsia" w:hAnsiTheme="minorHAnsi" w:cstheme="minorBidi"/>
          <w:color w:val="000000" w:themeColor="text1"/>
          <w14:textFill>
            <w14:solidFill>
              <w14:schemeClr w14:val="tx1"/>
            </w14:solidFill>
          </w14:textFill>
        </w:rPr>
        <w:t>以诚意药业为主体，依托温州医科大学仁济学院等创新能力突出的本土高校院所，</w:t>
      </w:r>
      <w:r>
        <w:rPr>
          <w:rFonts w:hint="eastAsia"/>
        </w:rPr>
        <w:t>引进中科院上海药物研究所、温州医科大学和浙江大学等高校院所和创新载体，建设诚意大健康研究院，加强在海洋药物、生物制药领域的产学研联合攻关；</w:t>
      </w:r>
      <w:r>
        <w:rPr>
          <w:rFonts w:hint="eastAsia" w:hAnsi="仿宋"/>
          <w:color w:val="000000" w:themeColor="text1"/>
          <w14:textFill>
            <w14:solidFill>
              <w14:schemeClr w14:val="tx1"/>
            </w14:solidFill>
          </w14:textFill>
        </w:rPr>
        <w:t>启动实施战略性新兴产业核心技术攻坚计划、传统产业赋能提升计划和前沿技术引领计划，</w:t>
      </w:r>
      <w:r>
        <w:rPr>
          <w:rFonts w:hint="eastAsia"/>
          <w:color w:val="000000" w:themeColor="text1"/>
          <w14:textFill>
            <w14:solidFill>
              <w14:schemeClr w14:val="tx1"/>
            </w14:solidFill>
          </w14:textFill>
        </w:rPr>
        <w:t>突破一批“卡脖子”技术，抢占一批前沿技术制高点，攻克一批重点产业关键核心技术，</w:t>
      </w:r>
      <w:r>
        <w:rPr>
          <w:rFonts w:hint="eastAsia" w:hAnsiTheme="minorHAnsi" w:cstheme="minorBidi"/>
          <w:color w:val="000000" w:themeColor="text1"/>
          <w:szCs w:val="24"/>
          <w14:textFill>
            <w14:solidFill>
              <w14:schemeClr w14:val="tx1"/>
            </w14:solidFill>
          </w14:textFill>
        </w:rPr>
        <w:t>推动产业集群向价值链中高端环节攀升，</w:t>
      </w:r>
      <w:r>
        <w:rPr>
          <w:rFonts w:hint="eastAsia" w:hAnsi="Calibri"/>
          <w:color w:val="000000" w:themeColor="text1"/>
          <w14:textFill>
            <w14:solidFill>
              <w14:schemeClr w14:val="tx1"/>
            </w14:solidFill>
          </w14:textFill>
        </w:rPr>
        <w:t>推动新兴技术、新兴产品规模化发展，</w:t>
      </w:r>
      <w:r>
        <w:rPr>
          <w:rFonts w:hint="eastAsia" w:hAnsiTheme="minorHAnsi" w:cstheme="minorBidi"/>
          <w:color w:val="000000" w:themeColor="text1"/>
          <w:szCs w:val="24"/>
          <w14:textFill>
            <w14:solidFill>
              <w14:schemeClr w14:val="tx1"/>
            </w14:solidFill>
          </w14:textFill>
        </w:rPr>
        <w:t>加快推进传统产业信息化改造，</w:t>
      </w:r>
      <w:r>
        <w:rPr>
          <w:rFonts w:hint="eastAsia" w:hAnsi="仿宋" w:cs="仿宋"/>
          <w:color w:val="000000" w:themeColor="text1"/>
          <w:szCs w:val="40"/>
          <w14:textFill>
            <w14:solidFill>
              <w14:schemeClr w14:val="tx1"/>
            </w14:solidFill>
          </w14:textFill>
        </w:rPr>
        <w:t>支撑</w:t>
      </w:r>
      <w:r>
        <w:rPr>
          <w:rFonts w:hint="eastAsia" w:hAnsiTheme="minorHAnsi" w:cstheme="minorBidi"/>
          <w:color w:val="000000" w:themeColor="text1"/>
          <w14:textFill>
            <w14:solidFill>
              <w14:schemeClr w14:val="tx1"/>
            </w14:solidFill>
          </w14:textFill>
        </w:rPr>
        <w:t>培育</w:t>
      </w:r>
      <w:r>
        <w:rPr>
          <w:rFonts w:hint="eastAsia" w:hAnsi="仿宋" w:cs="仿宋"/>
          <w:color w:val="000000" w:themeColor="text1"/>
          <w:szCs w:val="40"/>
          <w14:textFill>
            <w14:solidFill>
              <w14:schemeClr w14:val="tx1"/>
            </w14:solidFill>
          </w14:textFill>
        </w:rPr>
        <w:t>战略性新兴产业发展。争取五年时间，科技创新岛建设初步成型，协同机制基本建立。</w:t>
      </w:r>
    </w:p>
    <w:p>
      <w:r>
        <w:rPr>
          <w:rFonts w:hint="eastAsia" w:hAnsi="仿宋" w:cs="仿宋"/>
          <w:b/>
          <w:color w:val="000000" w:themeColor="text1"/>
          <w14:textFill>
            <w14:solidFill>
              <w14:schemeClr w14:val="tx1"/>
            </w14:solidFill>
          </w14:textFill>
        </w:rPr>
        <w:t>——谋划高能级科技平台。</w:t>
      </w:r>
      <w:r>
        <w:rPr>
          <w:rFonts w:hint="eastAsia" w:hAnsiTheme="minorHAnsi" w:cstheme="minorBidi"/>
          <w:color w:val="000000" w:themeColor="text1"/>
          <w14:textFill>
            <w14:solidFill>
              <w14:schemeClr w14:val="tx1"/>
            </w14:solidFill>
          </w14:textFill>
        </w:rPr>
        <w:t>以集聚整合创新要素、组织开展科技创新、支撑企业持续发展和引领行业技术进步为目标，</w:t>
      </w:r>
      <w:r>
        <w:rPr>
          <w:rFonts w:hint="eastAsia"/>
        </w:rPr>
        <w:t>推进“六大”科技创新平台建设，深化政产学研深度合作。加强与省市相关部门对接，引进温州海洋研究院落户洞头区。推进洞头区人民政府和国内知名涉海大学共建洞头海洋科创园，规划建设专业创新中心、研发孵化基地、产业化基地和综合服务基地等一批载体，重点打造集技术研发、成果转化、产业孵化为一体的国内知名海洋科技创新平台。围绕海洋资源综合利用，整合聚集浙江大学、中科院海洋研究所、区海洋研究中心、院士工作站等创新平台的科技要素，推进</w:t>
      </w:r>
      <w:r>
        <w:rPr>
          <w:rFonts w:ascii="仿宋" w:hAnsi="仿宋" w:eastAsia="仿宋" w:cs="Times New Roman"/>
          <w:color w:val="000000"/>
          <w:shd w:val="clear" w:color="auto" w:fill="FFFFFF"/>
        </w:rPr>
        <w:t>国家大院名校温州联合研究院洞头分院、洞头区水产科学研究所博士后工作站等科技创新服务载体建设</w:t>
      </w:r>
      <w:r>
        <w:rPr>
          <w:rFonts w:hint="eastAsia" w:ascii="仿宋" w:hAnsi="仿宋" w:eastAsia="仿宋" w:cs="Times New Roman"/>
          <w:color w:val="000000"/>
          <w:shd w:val="clear" w:color="auto" w:fill="FFFFFF"/>
        </w:rPr>
        <w:t>。</w:t>
      </w:r>
      <w:r>
        <w:rPr>
          <w:rFonts w:hint="eastAsia"/>
        </w:rPr>
        <w:t>谋划建设建设飞地产业园区，释放洞头区、瓯江口产业集聚区两片区政策的组合红利，实现产业、项目、人才、技术等核心资源的互联互动，打造“研发创新在外地、成果转化在洞头”的良好创新创业生态。</w:t>
      </w:r>
    </w:p>
    <w:p>
      <w:pPr>
        <w:spacing w:line="560" w:lineRule="exact"/>
        <w:ind w:firstLine="632" w:firstLineChars="200"/>
        <w:outlineLvl w:val="2"/>
        <w:rPr>
          <w:b/>
          <w:bCs/>
        </w:rPr>
      </w:pPr>
      <w:r>
        <w:rPr>
          <w:rFonts w:hint="eastAsia"/>
          <w:b/>
          <w:bCs/>
        </w:rPr>
        <w:t>2.推动数字经济建设，高水平打造数字经济体系</w:t>
      </w:r>
    </w:p>
    <w:p>
      <w:pPr>
        <w:widowControl/>
        <w:ind w:firstLine="632" w:firstLineChars="200"/>
        <w:rPr>
          <w:rFonts w:hAnsiTheme="minorHAnsi" w:cstheme="minorBidi"/>
          <w:color w:val="000000" w:themeColor="text1"/>
          <w14:textFill>
            <w14:solidFill>
              <w14:schemeClr w14:val="tx1"/>
            </w14:solidFill>
          </w14:textFill>
        </w:rPr>
      </w:pPr>
      <w:r>
        <w:rPr>
          <w:rFonts w:hint="eastAsia"/>
        </w:rPr>
        <w:t>贯彻浙江省委、省政府数字经济“一号工程”重大决策，</w:t>
      </w:r>
      <w:r>
        <w:rPr>
          <w:rFonts w:hint="eastAsia" w:hAnsiTheme="minorHAnsi" w:cstheme="minorBidi"/>
          <w:color w:val="000000" w:themeColor="text1"/>
          <w14:textFill>
            <w14:solidFill>
              <w14:schemeClr w14:val="tx1"/>
            </w14:solidFill>
          </w14:textFill>
        </w:rPr>
        <w:t>以“两个健康”先行区、海洋经济示范区和洞头“5431”发展规划为引导，</w:t>
      </w:r>
      <w:r>
        <w:rPr>
          <w:rFonts w:hint="eastAsia" w:hAnsi="黑体" w:cs="黑体"/>
        </w:rPr>
        <w:t>依托洞头资源优势和产业基础，抓住5G应用、物联网、云计算、人工智能等数字技术发展机遇，</w:t>
      </w:r>
      <w:r>
        <w:rPr>
          <w:rFonts w:hint="eastAsia" w:hAnsiTheme="minorHAnsi" w:cstheme="minorBidi"/>
          <w:color w:val="000000" w:themeColor="text1"/>
          <w14:textFill>
            <w14:solidFill>
              <w14:schemeClr w14:val="tx1"/>
            </w14:solidFill>
          </w14:textFill>
        </w:rPr>
        <w:t>加快发展以数据为关键要素的数字经济，充分发挥数字经济在资源合理配置和高效利用中的重要作用,促进全区经济社会发展质量和水平迈上新台阶。探索与瓯江口片区共建数据服务支撑平台和工作协同平台，统筹布局推进“5G+AICDE”新型智慧城市信息基础设施，高效赋能瓯洞一体数字化转型。</w:t>
      </w:r>
    </w:p>
    <w:p>
      <w:pPr>
        <w:widowControl/>
        <w:ind w:firstLine="632" w:firstLineChars="200"/>
        <w:rPr>
          <w:rFonts w:hAnsiTheme="minorHAnsi" w:cstheme="minorBidi"/>
          <w:color w:val="000000" w:themeColor="text1"/>
          <w14:textFill>
            <w14:solidFill>
              <w14:schemeClr w14:val="tx1"/>
            </w14:solidFill>
          </w14:textFill>
        </w:rPr>
      </w:pPr>
      <w:r>
        <w:rPr>
          <w:rFonts w:hint="eastAsia" w:hAnsiTheme="minorHAnsi" w:cstheme="minorBidi"/>
          <w:b/>
          <w:bCs/>
          <w:color w:val="000000" w:themeColor="text1"/>
          <w14:textFill>
            <w14:solidFill>
              <w14:schemeClr w14:val="tx1"/>
            </w14:solidFill>
          </w14:textFill>
        </w:rPr>
        <w:t>发展思路：</w:t>
      </w:r>
      <w:r>
        <w:rPr>
          <w:rFonts w:hint="eastAsia" w:hAnsiTheme="minorHAnsi" w:cstheme="minorBidi"/>
          <w:color w:val="000000" w:themeColor="text1"/>
          <w14:textFill>
            <w14:solidFill>
              <w14:schemeClr w14:val="tx1"/>
            </w14:solidFill>
          </w14:textFill>
        </w:rPr>
        <w:t>以创新为主要引领和支撑，以突出技术应用为重点，以供给侧结构性改革为动力，大力推进数字产业化、产业数字化</w:t>
      </w:r>
      <w:r>
        <w:rPr>
          <w:rFonts w:hint="eastAsia"/>
        </w:rPr>
        <w:t>，全区</w:t>
      </w:r>
      <w:r>
        <w:rPr>
          <w:rFonts w:hint="eastAsia" w:hAnsiTheme="minorHAnsi" w:cstheme="minorBidi"/>
          <w:color w:val="000000" w:themeColor="text1"/>
          <w14:textFill>
            <w14:solidFill>
              <w14:schemeClr w14:val="tx1"/>
            </w14:solidFill>
          </w14:textFill>
        </w:rPr>
        <w:t>围绕“一三九”数字经济发展布局，通过引进、培育和发展市场化运营主体，持续推动互联网+、电子商务、云计算、大数据、人工智能等新一代信息技术与工业经济的深度融合，引导智能制造升级，培育发展数字工业经济。</w:t>
      </w:r>
      <w:r>
        <w:rPr>
          <w:rFonts w:hint="eastAsia" w:hAnsi="黑体" w:cs="黑体"/>
        </w:rPr>
        <w:t>深入实施“互联网+”行动，抓好工业数字化升级，着力提高制造业信息化“登高”和“两化”融合能力，打造数字贸易产业链和生态链，促进全区工业高质量高水平发展。</w:t>
      </w:r>
    </w:p>
    <w:p>
      <w:pPr>
        <w:ind w:firstLine="632" w:firstLineChars="200"/>
        <w:rPr>
          <w:rFonts w:hAnsiTheme="minorHAnsi" w:cstheme="minorBidi"/>
          <w:color w:val="000000" w:themeColor="text1"/>
          <w14:textFill>
            <w14:solidFill>
              <w14:schemeClr w14:val="tx1"/>
            </w14:solidFill>
          </w14:textFill>
        </w:rPr>
      </w:pPr>
      <w:r>
        <w:rPr>
          <w:rFonts w:hint="eastAsia" w:hAnsiTheme="minorHAnsi" w:cstheme="minorBidi"/>
          <w:b/>
          <w:bCs/>
          <w:color w:val="000000" w:themeColor="text1"/>
          <w14:textFill>
            <w14:solidFill>
              <w14:schemeClr w14:val="tx1"/>
            </w14:solidFill>
          </w14:textFill>
        </w:rPr>
        <w:t>——深度推进“两化融合”。</w:t>
      </w:r>
      <w:r>
        <w:rPr>
          <w:rFonts w:hint="eastAsia" w:hAnsi="Calibri"/>
        </w:rPr>
        <w:t>重点在电气、汽车零部件、泵阀、电子电器等产业实施数</w:t>
      </w:r>
      <w:r>
        <w:rPr>
          <w:rFonts w:hint="eastAsia"/>
        </w:rPr>
        <w:t>字化</w:t>
      </w:r>
      <w:r>
        <w:rPr>
          <w:rFonts w:hint="eastAsia" w:hAnsi="Calibri"/>
        </w:rPr>
        <w:t>智能化改造，通过物联网、云计算和自动化控制等</w:t>
      </w:r>
      <w:r>
        <w:rPr>
          <w:rFonts w:hint="eastAsia"/>
        </w:rPr>
        <w:t>新兴技术的深度集成应用，提升制造装备的数控化率和智能化水平，推进生产全过程智能化。支持企业实施信息化系统建设与整合，合理部署</w:t>
      </w:r>
      <w:r>
        <w:t>ERP</w:t>
      </w:r>
      <w:r>
        <w:rPr>
          <w:rFonts w:hint="eastAsia"/>
        </w:rPr>
        <w:t>、</w:t>
      </w:r>
      <w:r>
        <w:t>CRM</w:t>
      </w:r>
      <w:r>
        <w:rPr>
          <w:rFonts w:hint="eastAsia"/>
        </w:rPr>
        <w:t>、</w:t>
      </w:r>
      <w:r>
        <w:t>MES</w:t>
      </w:r>
      <w:r>
        <w:rPr>
          <w:rFonts w:hint="eastAsia"/>
        </w:rPr>
        <w:t>、</w:t>
      </w:r>
      <w:r>
        <w:t>PLM</w:t>
      </w:r>
      <w:r>
        <w:rPr>
          <w:rFonts w:hint="eastAsia"/>
        </w:rPr>
        <w:t>、</w:t>
      </w:r>
      <w:r>
        <w:t>SCM</w:t>
      </w:r>
      <w:r>
        <w:rPr>
          <w:rFonts w:hint="eastAsia"/>
        </w:rPr>
        <w:t>等系统。支持中小企业使用工业云平台，提高信息化应用水平。</w:t>
      </w:r>
      <w:r>
        <w:rPr>
          <w:rFonts w:hint="eastAsia" w:hAnsiTheme="minorHAnsi" w:cstheme="minorBidi"/>
          <w:color w:val="000000" w:themeColor="text1"/>
          <w14:textFill>
            <w14:solidFill>
              <w14:schemeClr w14:val="tx1"/>
            </w14:solidFill>
          </w14:textFill>
        </w:rPr>
        <w:t>鼓励龙头骨干企业将信息资源和应用系统向云上发展，推进管理上云和业务上云，对中小微企业和初创企业，鼓励使用云应用软件开展基于云的移动化或互联网化应用。重点打造诚意药业和吉龙电子的智能样本车间，以及宏阳锂电和远景风力的智能样板工厂。鼓励制造企业运用智能化装备和智能传感器、工业软件、互联网、人工智能等新技术新产品，重点围绕设备互联互通、生产过程调度、物料配送控制、设计生产联动协同等主要生产环节，加快推动新一代信息技术深度应用。</w:t>
      </w:r>
    </w:p>
    <w:p>
      <w:pPr>
        <w:ind w:firstLine="632" w:firstLineChars="200"/>
      </w:pPr>
      <w:r>
        <w:rPr>
          <w:rFonts w:hint="eastAsia" w:hAnsiTheme="minorHAnsi" w:cstheme="minorBidi"/>
          <w:b/>
          <w:bCs/>
          <w:color w:val="000000" w:themeColor="text1"/>
          <w14:textFill>
            <w14:solidFill>
              <w14:schemeClr w14:val="tx1"/>
            </w14:solidFill>
          </w14:textFill>
        </w:rPr>
        <w:t>——培育建设数字平台。</w:t>
      </w:r>
      <w:r>
        <w:rPr>
          <w:rFonts w:hint="eastAsia"/>
        </w:rPr>
        <w:t>围绕传统产业数字化升级、高质量发展总基调，借助电子电器科技园、鑫朝电子商务产业园等现有平台，集聚一批数字型中小企业；充分利用现有</w:t>
      </w:r>
      <w:r>
        <w:t>南塘工业区</w:t>
      </w:r>
      <w:r>
        <w:rPr>
          <w:rFonts w:hint="eastAsia"/>
        </w:rPr>
        <w:t>、杨文工业区等工业地块的闲置办公用房，将其作为软件和信息服务业企业的主要场所，形成物联网、电子电器、数字装备等集聚发展平台；</w:t>
      </w:r>
      <w:r>
        <w:t>依托总部经济园内的医药公司、滴滴出行科技有限公司温州分公司、洞头当地特色文化公司等企业资源，建设淘宝店仓储基地，拓展发展我区特色电商经济</w:t>
      </w:r>
      <w:r>
        <w:rPr>
          <w:rFonts w:hint="eastAsia"/>
        </w:rPr>
        <w:t>；</w:t>
      </w:r>
      <w:r>
        <w:t>谋划“网上丝绸之路”试验区建设，发展跨境贸易电子商务，引导和支持跨境电商运营企业、第三方支付企业等重点单位和龙头企业落户，支持厂商型跨境贸易电子商务平台建设。</w:t>
      </w:r>
    </w:p>
    <w:p>
      <w:pPr>
        <w:ind w:firstLine="632" w:firstLineChars="200"/>
      </w:pPr>
      <w:r>
        <w:rPr>
          <w:rFonts w:hint="eastAsia" w:hAnsiTheme="minorHAnsi" w:cstheme="minorBidi"/>
          <w:b/>
          <w:bCs/>
          <w:color w:val="000000" w:themeColor="text1"/>
          <w14:textFill>
            <w14:solidFill>
              <w14:schemeClr w14:val="tx1"/>
            </w14:solidFill>
          </w14:textFill>
        </w:rPr>
        <w:t>——招引数字核心产业。</w:t>
      </w:r>
      <w:r>
        <w:rPr>
          <w:rFonts w:hint="eastAsia" w:hAnsiTheme="minorHAnsi" w:cstheme="minorBidi"/>
          <w:color w:val="000000" w:themeColor="text1"/>
          <w14:textFill>
            <w14:solidFill>
              <w14:schemeClr w14:val="tx1"/>
            </w14:solidFill>
          </w14:textFill>
        </w:rPr>
        <w:t>采取产业链招商、以商引商、专业招商等多种方式和途径，招引一些国内外知名互联网企业和数字经济领域的龙头企业来洞头设立区域性总部或投资项目。重点全程跟踪远景风电、宏阳锂电池项目落地，通过好项目落户来引进上下游配套智能产业链。加大信息经济重点企业培育力度和政策扶持力度，重点扶持以宏阳锂电池为首的电子信息制造业企业，带动上游关键材料、配套设备和下游终端应用产业。</w:t>
      </w:r>
      <w:r>
        <w:rPr>
          <w:rFonts w:hint="eastAsia"/>
        </w:rPr>
        <w:t>力争引进</w:t>
      </w:r>
      <w:r>
        <w:t>1-2</w:t>
      </w:r>
      <w:r>
        <w:rPr>
          <w:rFonts w:hint="eastAsia"/>
        </w:rPr>
        <w:t>个投资额超亿元的重大信息经济项目，争取信息产业取得根本性突破。</w:t>
      </w:r>
    </w:p>
    <w:p>
      <w:pPr>
        <w:ind w:firstLine="632" w:firstLineChars="200"/>
        <w:rPr>
          <w:rFonts w:hAnsiTheme="minorHAnsi" w:cstheme="minorBidi"/>
          <w:color w:val="000000" w:themeColor="text1"/>
          <w14:textFill>
            <w14:solidFill>
              <w14:schemeClr w14:val="tx1"/>
            </w14:solidFill>
          </w14:textFill>
        </w:rPr>
      </w:pPr>
      <w:r>
        <w:rPr>
          <w:rFonts w:hint="eastAsia" w:hAnsiTheme="minorHAnsi" w:cstheme="minorBidi"/>
          <w:b/>
          <w:bCs/>
          <w:color w:val="000000" w:themeColor="text1"/>
          <w14:textFill>
            <w14:solidFill>
              <w14:schemeClr w14:val="tx1"/>
            </w14:solidFill>
          </w14:textFill>
        </w:rPr>
        <w:t>——引导发展跨境电商。</w:t>
      </w:r>
      <w:r>
        <w:rPr>
          <w:rFonts w:hint="eastAsia" w:hAnsiTheme="minorHAnsi" w:cstheme="minorBidi"/>
          <w:color w:val="000000" w:themeColor="text1"/>
          <w14:textFill>
            <w14:solidFill>
              <w14:schemeClr w14:val="tx1"/>
            </w14:solidFill>
          </w14:textFill>
        </w:rPr>
        <w:t>充分利用现代网络的开放性、信息的多样性、交易的快捷性和低成本等特点，有效解决企业在采购过程中面临的标准化、流程化、透明化等一系列问题，通过降低成本，产生规模效益，推动自身“供给改革”。一是积极引导和鼓励有潜力的中小型电商企业依托阿里巴巴速卖通、亚马逊和EBAY等平台开展跨境线上销售，拓宽国际通道和互联网出口通道；二是鼓励更多企业改造原有仓库，引入智能物流系统，做好海外仓信息化仓储管理系统对接应用，引导自用海外仓向公共海外仓转型。推动进口电商发展，搭建以海外仓为支点的目的国配送体系。三是利用“网展贸”等外贸创新定制化数字平台，融合移动互联网技术和海外供应链服务为一体，积极拓展国际市场。</w:t>
      </w:r>
    </w:p>
    <w:p>
      <w:pPr>
        <w:pStyle w:val="5"/>
        <w:spacing w:line="560" w:lineRule="exact"/>
        <w:ind w:firstLine="632" w:firstLineChars="200"/>
        <w:jc w:val="both"/>
        <w:rPr>
          <w:rFonts w:ascii="黑体" w:hAnsi="黑体" w:eastAsia="黑体" w:cstheme="minorBidi"/>
          <w:b w:val="0"/>
          <w:sz w:val="32"/>
          <w:lang w:val="en-US"/>
        </w:rPr>
      </w:pPr>
      <w:bookmarkStart w:id="147" w:name="_Toc13302"/>
      <w:bookmarkStart w:id="148" w:name="_Toc30499"/>
      <w:bookmarkStart w:id="149" w:name="_Toc11072"/>
      <w:r>
        <w:rPr>
          <w:rFonts w:hint="eastAsia" w:ascii="黑体" w:hAnsi="黑体" w:eastAsia="黑体" w:cstheme="minorBidi"/>
          <w:b w:val="0"/>
          <w:sz w:val="32"/>
          <w:lang w:val="en-US"/>
        </w:rPr>
        <w:t>五、主要任务</w:t>
      </w:r>
      <w:bookmarkEnd w:id="92"/>
      <w:bookmarkEnd w:id="93"/>
      <w:bookmarkEnd w:id="94"/>
      <w:r>
        <w:rPr>
          <w:rFonts w:hint="eastAsia" w:ascii="黑体" w:hAnsi="黑体" w:eastAsia="黑体" w:cstheme="minorBidi"/>
          <w:b w:val="0"/>
          <w:sz w:val="32"/>
          <w:lang w:val="en-US"/>
        </w:rPr>
        <w:t>及发展路径</w:t>
      </w:r>
      <w:bookmarkEnd w:id="147"/>
      <w:bookmarkEnd w:id="148"/>
      <w:bookmarkEnd w:id="149"/>
    </w:p>
    <w:p>
      <w:pPr>
        <w:pStyle w:val="6"/>
        <w:spacing w:before="0" w:after="0" w:line="560" w:lineRule="exact"/>
        <w:ind w:firstLine="632" w:firstLineChars="200"/>
        <w:rPr>
          <w:rFonts w:ascii="楷体" w:hAnsi="楷体" w:eastAsia="楷体" w:cs="楷体"/>
          <w:b w:val="0"/>
          <w:bCs w:val="0"/>
        </w:rPr>
      </w:pPr>
      <w:bookmarkStart w:id="150" w:name="_Toc13934"/>
      <w:bookmarkStart w:id="151" w:name="_Toc2756"/>
      <w:bookmarkStart w:id="152" w:name="_Toc8302"/>
      <w:bookmarkStart w:id="153" w:name="_Toc10439"/>
      <w:bookmarkStart w:id="154" w:name="_Toc1716777727"/>
      <w:r>
        <w:rPr>
          <w:rFonts w:hint="eastAsia" w:ascii="楷体" w:hAnsi="楷体" w:eastAsia="楷体" w:cs="楷体"/>
          <w:b w:val="0"/>
          <w:bCs w:val="0"/>
        </w:rPr>
        <w:t>（一）</w:t>
      </w:r>
      <w:bookmarkEnd w:id="150"/>
      <w:r>
        <w:rPr>
          <w:rFonts w:hint="eastAsia" w:ascii="楷体" w:hAnsi="楷体" w:eastAsia="楷体" w:cs="楷体"/>
          <w:b w:val="0"/>
          <w:bCs w:val="0"/>
        </w:rPr>
        <w:t>产业升级工程</w:t>
      </w:r>
      <w:bookmarkEnd w:id="151"/>
      <w:bookmarkEnd w:id="152"/>
      <w:bookmarkEnd w:id="153"/>
    </w:p>
    <w:bookmarkEnd w:id="154"/>
    <w:p>
      <w:pPr>
        <w:spacing w:line="560" w:lineRule="exact"/>
        <w:ind w:firstLine="632" w:firstLineChars="200"/>
        <w:outlineLvl w:val="2"/>
        <w:rPr>
          <w:b/>
          <w:bCs/>
        </w:rPr>
      </w:pPr>
      <w:r>
        <w:rPr>
          <w:rFonts w:hint="eastAsia"/>
          <w:b/>
          <w:bCs/>
        </w:rPr>
        <w:t>1.</w:t>
      </w:r>
      <w:r>
        <w:rPr>
          <w:b/>
          <w:bCs/>
        </w:rPr>
        <w:t>提升产业链现代化水平</w:t>
      </w:r>
    </w:p>
    <w:p>
      <w:pPr>
        <w:spacing w:line="560" w:lineRule="exact"/>
        <w:ind w:firstLine="632" w:firstLineChars="200"/>
        <w:rPr>
          <w:b/>
          <w:bCs/>
        </w:rPr>
      </w:pPr>
      <w:r>
        <w:rPr>
          <w:rFonts w:hint="eastAsia"/>
        </w:rPr>
        <w:t>聚焦L</w:t>
      </w:r>
      <w:r>
        <w:t>NG</w:t>
      </w:r>
      <w:r>
        <w:rPr>
          <w:rFonts w:hint="eastAsia"/>
        </w:rPr>
        <w:t>、L</w:t>
      </w:r>
      <w:r>
        <w:t>PG</w:t>
      </w:r>
      <w:r>
        <w:rPr>
          <w:rFonts w:hint="eastAsia"/>
        </w:rPr>
        <w:t>、沥青-燃料油、绿色建材、海（水）产品、生命健康、机械汽配、传感器八大产业链，以打造5大内链、3大外链为主，建立“产业链-基础领域-企业-项目”一体化储备机制。引育“链主”企业，依托龙头企业分类组建产业链上下游企业共同体，优化产业链分工协作体系。打造分行业产业联盟体系，重点聚焦临港产业链，推动龙头企业、冠军企业通过产业链整合、关键技术掌控、股权并购等方式，引入强链补链企业，构建产业联盟。锻造产业链、供应链长板，补齐产业链、供应链短板，完善供应链体系，推动产业链、供应链多元化，强化产业链供应链风险常态化防控，至2025年，基本形成省市内先进、安全可控的产业基础，基本具备风险可控、处置有效的产业链安全保障能力。</w:t>
      </w:r>
    </w:p>
    <w:p>
      <w:pPr>
        <w:spacing w:line="560" w:lineRule="exact"/>
        <w:ind w:firstLine="632" w:firstLineChars="200"/>
        <w:outlineLvl w:val="2"/>
        <w:rPr>
          <w:b/>
          <w:bCs/>
        </w:rPr>
      </w:pPr>
      <w:r>
        <w:rPr>
          <w:rFonts w:hint="eastAsia"/>
          <w:b/>
          <w:bCs/>
        </w:rPr>
        <w:t>2.</w:t>
      </w:r>
      <w:r>
        <w:rPr>
          <w:b/>
          <w:bCs/>
        </w:rPr>
        <w:t>培育</w:t>
      </w:r>
      <w:r>
        <w:rPr>
          <w:rFonts w:hint="eastAsia"/>
          <w:b/>
          <w:bCs/>
        </w:rPr>
        <w:t>壮大</w:t>
      </w:r>
      <w:r>
        <w:rPr>
          <w:b/>
          <w:bCs/>
        </w:rPr>
        <w:t>新兴</w:t>
      </w:r>
      <w:r>
        <w:rPr>
          <w:rFonts w:hint="eastAsia"/>
          <w:b/>
          <w:bCs/>
        </w:rPr>
        <w:t>产业链</w:t>
      </w:r>
    </w:p>
    <w:p>
      <w:pPr>
        <w:spacing w:line="560" w:lineRule="exact"/>
        <w:ind w:firstLine="632" w:firstLineChars="200"/>
      </w:pPr>
      <w:r>
        <w:rPr>
          <w:rFonts w:hint="eastAsia"/>
        </w:rPr>
        <w:t>以5G、集成电路、工业互联网、人工智能、大数据、云计算、超高清视频、高端装备与智能网联汽车等产业为发展导向，以重大发展需求为牵引，以重大技术突破作为主攻方向，主动谋划、前瞻部署一批未来产业，打造新兴产业链，构建未来竞争新优势。以市场需求为导向，以应用场景为牵引，大力培育新产品、新模式、新业态，做大做强一批产业关联度大、创新能力强的骨干企业，以骨干企业带动中小微企业发展，构建完善大中小微企业专业化分工协作、共同发展的新兴产业生态体系。</w:t>
      </w:r>
    </w:p>
    <w:p>
      <w:pPr>
        <w:spacing w:line="560" w:lineRule="exact"/>
        <w:ind w:firstLine="632" w:firstLineChars="200"/>
        <w:outlineLvl w:val="2"/>
        <w:rPr>
          <w:b/>
          <w:bCs/>
        </w:rPr>
      </w:pPr>
      <w:r>
        <w:rPr>
          <w:rFonts w:hint="eastAsia"/>
          <w:b/>
          <w:bCs/>
        </w:rPr>
        <w:t>3.引导产业链集群发展</w:t>
      </w:r>
    </w:p>
    <w:p>
      <w:pPr>
        <w:spacing w:line="560" w:lineRule="exact"/>
        <w:ind w:firstLine="632" w:firstLineChars="200"/>
      </w:pPr>
      <w:r>
        <w:rPr>
          <w:rFonts w:hint="eastAsia"/>
        </w:rPr>
        <w:t>强化产业关联性，发挥企业竞合性。强调同一产业链上下游产业链节点企业的合作性及相似产业链间的竞争性，将竞争与合作有机整合，推动集群式产业链升级。依托已有产业集聚平台推动产业集聚升级，以集群产业链加强开放、集体行动为条件与基础，以强化产品链、知识链与价值链高级化互动机制为核心，提升集群式产业链势力，引导集群式产业链由低技术水平、低附加值状态向高技术、高附加值状态转化，实现产业升级良性循环。到2025年，基本形成一批融入温州产业链连接节点发展的先进制造业产业集群。</w:t>
      </w:r>
    </w:p>
    <w:p>
      <w:pPr>
        <w:pStyle w:val="6"/>
        <w:spacing w:before="0" w:after="0" w:line="560" w:lineRule="exact"/>
        <w:ind w:firstLine="632" w:firstLineChars="200"/>
        <w:rPr>
          <w:rFonts w:ascii="楷体" w:hAnsi="楷体" w:eastAsia="楷体" w:cs="楷体"/>
          <w:b w:val="0"/>
          <w:bCs w:val="0"/>
        </w:rPr>
      </w:pPr>
      <w:bookmarkStart w:id="155" w:name="_Toc10784"/>
      <w:bookmarkStart w:id="156" w:name="_Toc14115"/>
      <w:bookmarkStart w:id="157" w:name="_Toc20183"/>
      <w:bookmarkStart w:id="158" w:name="_Toc21857"/>
      <w:bookmarkStart w:id="159" w:name="_Toc10491"/>
      <w:bookmarkStart w:id="160" w:name="_Toc4106"/>
      <w:bookmarkStart w:id="161" w:name="_Toc609216176"/>
      <w:r>
        <w:rPr>
          <w:rFonts w:hint="eastAsia" w:ascii="楷体" w:hAnsi="楷体" w:eastAsia="楷体" w:cs="楷体"/>
          <w:b w:val="0"/>
          <w:bCs w:val="0"/>
        </w:rPr>
        <w:t>（二）</w:t>
      </w:r>
      <w:bookmarkEnd w:id="155"/>
      <w:r>
        <w:rPr>
          <w:rFonts w:hint="eastAsia" w:ascii="楷体" w:hAnsi="楷体" w:eastAsia="楷体" w:cs="楷体"/>
          <w:b w:val="0"/>
          <w:bCs w:val="0"/>
        </w:rPr>
        <w:t>创新驱动工程</w:t>
      </w:r>
      <w:bookmarkEnd w:id="156"/>
      <w:bookmarkEnd w:id="157"/>
      <w:bookmarkEnd w:id="158"/>
    </w:p>
    <w:p>
      <w:pPr>
        <w:spacing w:line="560" w:lineRule="exact"/>
        <w:ind w:firstLine="632" w:firstLineChars="200"/>
        <w:outlineLvl w:val="2"/>
        <w:rPr>
          <w:b/>
          <w:bCs/>
        </w:rPr>
      </w:pPr>
      <w:r>
        <w:rPr>
          <w:rFonts w:hint="eastAsia"/>
          <w:b/>
          <w:bCs/>
        </w:rPr>
        <w:t>1.培育创新主体</w:t>
      </w:r>
      <w:bookmarkEnd w:id="159"/>
      <w:bookmarkEnd w:id="160"/>
      <w:bookmarkEnd w:id="161"/>
    </w:p>
    <w:p>
      <w:pPr>
        <w:spacing w:line="560" w:lineRule="exact"/>
        <w:ind w:firstLine="632" w:firstLineChars="200"/>
      </w:pPr>
      <w:r>
        <w:rPr>
          <w:rFonts w:hint="eastAsia"/>
          <w:lang w:eastAsia="zh-Hans"/>
        </w:rPr>
        <w:t>落实温州市创建新时代“两个健康”先行区、“三助三红”、“三服务”活动和“两万”行动工作要求，切实做好科技创新精准助企服务工作，构建“亲”“清”新型政商关系。深入实施科技企业新“双倍增”</w:t>
      </w:r>
      <w:r>
        <w:rPr>
          <w:rFonts w:hint="eastAsia"/>
        </w:rPr>
        <w:t>、“双迈进”</w:t>
      </w:r>
      <w:r>
        <w:rPr>
          <w:rFonts w:hint="eastAsia"/>
          <w:lang w:eastAsia="zh-Hans"/>
        </w:rPr>
        <w:t>和规上企业“三清零”行动计划，进一步挖掘潜力和后劲发挥企业主体作用</w:t>
      </w:r>
      <w:r>
        <w:rPr>
          <w:lang w:eastAsia="zh-Hans"/>
        </w:rPr>
        <w:t>，</w:t>
      </w:r>
      <w:r>
        <w:rPr>
          <w:rFonts w:hint="eastAsia"/>
        </w:rPr>
        <w:t>积极实施“众创预孵+初创孵化+科技转型+冲刺高新”梯队培育计划。鼓励龙头企业承担参与国家、省市重大科技创新计划，与国内外知名高校园所、上下游企业共同组建产业创新联盟，联合开展关键技术及共性技术攻关，引导中小科技型企业聚焦专业技术细分领域的创新研发，至2025年，新增培育国家高新技术企业3家、省级科技型企业25家。</w:t>
      </w:r>
    </w:p>
    <w:p>
      <w:pPr>
        <w:spacing w:line="560" w:lineRule="exact"/>
        <w:ind w:firstLine="632" w:firstLineChars="200"/>
        <w:outlineLvl w:val="2"/>
        <w:rPr>
          <w:b/>
          <w:bCs/>
        </w:rPr>
      </w:pPr>
      <w:bookmarkStart w:id="162" w:name="_Toc6374"/>
      <w:bookmarkStart w:id="163" w:name="_Toc2041724783"/>
      <w:bookmarkStart w:id="164" w:name="_Toc16285"/>
      <w:r>
        <w:rPr>
          <w:rFonts w:hint="eastAsia"/>
          <w:b/>
          <w:bCs/>
        </w:rPr>
        <w:t>2.构筑创新平台</w:t>
      </w:r>
      <w:bookmarkEnd w:id="162"/>
      <w:bookmarkEnd w:id="163"/>
      <w:bookmarkEnd w:id="164"/>
    </w:p>
    <w:p>
      <w:pPr>
        <w:spacing w:line="560" w:lineRule="exact"/>
        <w:ind w:firstLine="632" w:firstLineChars="200"/>
      </w:pPr>
      <w:r>
        <w:rPr>
          <w:rFonts w:hint="eastAsia"/>
        </w:rPr>
        <w:t>依托骨干和特色优势企业，在工业互联网、5G、集成电路、智能制造装备、新能源等领域推进博士后工作站、院士工作站建设。鼓励各类投资主体、社会力量充分利用闲置的厂房空间、城市有机更新腾退的土地、“两退两进”盘活的资产推进众创空间、小企业创业基地、科技孵化器、微型企业孵化园等服务平台建设。以服务产业集群发展为重点，利用创新驱动谋划创建网络研发合作平台，打造“虚拟”实验室平台，联合北京大学、浙江大学等异地知名院校加入平台，孵化转化院校科技成果。支持诚意药业、中油沥青等各类创新主体承担产业创新中心、企业技术中心、研究开发中心等建设，</w:t>
      </w:r>
      <w:r>
        <w:rPr>
          <w:rFonts w:hint="eastAsia" w:ascii="宋体" w:hAnsi="宋体" w:cs="宋体"/>
          <w:szCs w:val="21"/>
        </w:rPr>
        <w:t>建设一批“专精特新”特色化产业创新服务平台，</w:t>
      </w:r>
      <w:r>
        <w:rPr>
          <w:rFonts w:hint="eastAsia"/>
        </w:rPr>
        <w:t>争取在国家级基础创新平台建设上取得新的突破。</w:t>
      </w:r>
    </w:p>
    <w:p>
      <w:pPr>
        <w:spacing w:line="560" w:lineRule="exact"/>
        <w:ind w:firstLine="632" w:firstLineChars="200"/>
        <w:outlineLvl w:val="2"/>
        <w:rPr>
          <w:b/>
          <w:bCs/>
        </w:rPr>
      </w:pPr>
      <w:bookmarkStart w:id="165" w:name="_Toc18646"/>
      <w:bookmarkStart w:id="166" w:name="_Toc627232468"/>
      <w:bookmarkStart w:id="167" w:name="_Toc2938"/>
      <w:r>
        <w:rPr>
          <w:rFonts w:hint="eastAsia"/>
          <w:b/>
          <w:bCs/>
        </w:rPr>
        <w:t>3.完善创新</w:t>
      </w:r>
      <w:bookmarkEnd w:id="165"/>
      <w:bookmarkEnd w:id="166"/>
      <w:bookmarkEnd w:id="167"/>
      <w:r>
        <w:rPr>
          <w:rFonts w:hint="eastAsia"/>
          <w:b/>
          <w:bCs/>
        </w:rPr>
        <w:t>体系</w:t>
      </w:r>
    </w:p>
    <w:p>
      <w:pPr>
        <w:spacing w:line="560" w:lineRule="exact"/>
        <w:ind w:firstLine="632" w:firstLineChars="200"/>
      </w:pPr>
      <w:r>
        <w:rPr>
          <w:rFonts w:hint="eastAsia"/>
        </w:rPr>
        <w:t>基于互联网构建低成本高效创新创业服务网络，重点支持开展创业孵化、技术转移、成果转化、投融资服务体系建设。加大对研究与开发支持力度，瞄准未来中等工业竞争制高点，统筹产学研各方力量，聚焦电子信息、生物医药、新材料、新能源等具有使能作用的通用目的技术和产业共性技术，通过制定重大专项研发计划、设立专项攻关基金等方式加强支持，破除束缚科研人员创新创业的“藩篱”。逐步推进科研体制改革，明晰科研成果的知识产权归属，鼓励科研人员推动科技成果的产业转化。完善科技成果转化运行机制，支持各类市场主体建设科技创新公共技术服务平台，培育一批知名科技服务机构，培育市场化新型研发组织和研发服务外包新业态，支持科技类行业协会、技术创新联盟发展。</w:t>
      </w:r>
    </w:p>
    <w:p>
      <w:pPr>
        <w:pStyle w:val="6"/>
        <w:spacing w:before="0" w:after="0" w:line="560" w:lineRule="exact"/>
        <w:ind w:firstLine="632" w:firstLineChars="200"/>
        <w:rPr>
          <w:rFonts w:ascii="楷体" w:hAnsi="楷体" w:eastAsia="楷体" w:cs="楷体"/>
          <w:b w:val="0"/>
          <w:bCs w:val="0"/>
        </w:rPr>
      </w:pPr>
      <w:bookmarkStart w:id="168" w:name="_Toc17173"/>
      <w:bookmarkStart w:id="169" w:name="_Toc10881"/>
      <w:bookmarkStart w:id="170" w:name="_Toc6246"/>
      <w:bookmarkStart w:id="171" w:name="_Toc11584"/>
      <w:bookmarkStart w:id="172" w:name="_Toc8072"/>
      <w:bookmarkStart w:id="173" w:name="_Toc1041255661"/>
      <w:r>
        <w:rPr>
          <w:rFonts w:hint="eastAsia" w:ascii="楷体" w:hAnsi="楷体" w:eastAsia="楷体" w:cs="楷体"/>
          <w:b w:val="0"/>
          <w:bCs w:val="0"/>
        </w:rPr>
        <w:t>（三）数字攻关工程</w:t>
      </w:r>
      <w:bookmarkEnd w:id="168"/>
      <w:bookmarkEnd w:id="169"/>
      <w:bookmarkEnd w:id="170"/>
    </w:p>
    <w:p>
      <w:pPr>
        <w:spacing w:line="560" w:lineRule="exact"/>
        <w:ind w:firstLine="632" w:firstLineChars="200"/>
        <w:outlineLvl w:val="2"/>
        <w:rPr>
          <w:b/>
          <w:bCs/>
        </w:rPr>
      </w:pPr>
      <w:r>
        <w:rPr>
          <w:rFonts w:hint="eastAsia"/>
          <w:b/>
          <w:bCs/>
        </w:rPr>
        <w:t>1.推进数字经济基础建设</w:t>
      </w:r>
      <w:bookmarkEnd w:id="171"/>
      <w:bookmarkEnd w:id="172"/>
      <w:bookmarkEnd w:id="173"/>
    </w:p>
    <w:p>
      <w:pPr>
        <w:spacing w:line="560" w:lineRule="exact"/>
        <w:ind w:firstLine="632" w:firstLineChars="200"/>
        <w:rPr>
          <w:lang w:eastAsia="zh-Hans"/>
        </w:rPr>
      </w:pPr>
      <w:r>
        <w:rPr>
          <w:rFonts w:hint="eastAsia"/>
        </w:rPr>
        <w:t>推进</w:t>
      </w:r>
      <w:r>
        <w:rPr>
          <w:rFonts w:hint="eastAsia"/>
          <w:lang w:eastAsia="zh-Hans"/>
        </w:rPr>
        <w:t>综合技术软件平台建设</w:t>
      </w:r>
      <w:r>
        <w:rPr>
          <w:rFonts w:hint="eastAsia"/>
        </w:rPr>
        <w:t>，</w:t>
      </w:r>
      <w:r>
        <w:rPr>
          <w:rFonts w:hint="eastAsia"/>
          <w:lang w:eastAsia="zh-Hans"/>
        </w:rPr>
        <w:t>根据我区产业优势和产业发展趋势，整合现有资源，结合重点产业的需求，建设具有洞头特色的技术软件平台、信息消费平台、行业专用平台和公共服务平台等综合技术软件平台，着力促进企业的信息化融合，提高企业的技术水平和商业运作能力，鼓励企业间建立多层次合作机制，支持技术、标准和应用等各类联盟的建设，实现信息共享、联合创新和应用推广。发展面向企业、行业和区域的第三方电子商务平台建设和多业态的第三方支付平台研发及产业化</w:t>
      </w:r>
      <w:r>
        <w:rPr>
          <w:rFonts w:hint="eastAsia"/>
        </w:rPr>
        <w:t>，利用信息技术提高传统产业的创新能力以及效率和效益</w:t>
      </w:r>
      <w:r>
        <w:rPr>
          <w:rFonts w:hint="eastAsia"/>
          <w:lang w:eastAsia="zh-Hans"/>
        </w:rPr>
        <w:t>。</w:t>
      </w:r>
    </w:p>
    <w:p>
      <w:pPr>
        <w:spacing w:line="560" w:lineRule="exact"/>
        <w:ind w:firstLine="632" w:firstLineChars="200"/>
        <w:outlineLvl w:val="2"/>
        <w:rPr>
          <w:b/>
          <w:bCs/>
        </w:rPr>
      </w:pPr>
      <w:bookmarkStart w:id="174" w:name="_Toc9476"/>
      <w:bookmarkStart w:id="175" w:name="_Toc6555"/>
      <w:bookmarkStart w:id="176" w:name="_Toc1158547087"/>
      <w:bookmarkStart w:id="177" w:name="_Toc6028"/>
      <w:bookmarkStart w:id="178" w:name="_Toc539655024"/>
      <w:bookmarkStart w:id="179" w:name="_Toc25989"/>
      <w:r>
        <w:rPr>
          <w:rFonts w:hint="eastAsia"/>
          <w:b/>
          <w:bCs/>
        </w:rPr>
        <w:t>2.推进工业产品智能制造</w:t>
      </w:r>
      <w:bookmarkEnd w:id="174"/>
      <w:bookmarkEnd w:id="175"/>
      <w:bookmarkEnd w:id="176"/>
    </w:p>
    <w:p>
      <w:pPr>
        <w:spacing w:line="560" w:lineRule="exact"/>
        <w:ind w:firstLine="632" w:firstLineChars="200"/>
        <w:rPr>
          <w:lang w:eastAsia="zh-Hans"/>
        </w:rPr>
      </w:pPr>
      <w:r>
        <w:rPr>
          <w:lang w:eastAsia="zh-Hans"/>
        </w:rPr>
        <w:t>推进工业领域创新驱动发展战略的实施，推动新一代信息技术与制造技术融合发展，</w:t>
      </w:r>
      <w:r>
        <w:rPr>
          <w:rFonts w:hint="eastAsia"/>
        </w:rPr>
        <w:t>利用物联网技术，推动整条生产线智能化技改，逐步建设硬件智能化、管理平台化、企业数字化、产业生态化的现代园区。</w:t>
      </w:r>
      <w:r>
        <w:rPr>
          <w:lang w:eastAsia="zh-Hans"/>
        </w:rPr>
        <w:t>建立、完善、扩展企业在研发设计、生产制造、物流仓储、订单获取、产品服务等各个环节的智能制造能力，形成完整、高效、科学的智能制造系统</w:t>
      </w:r>
      <w:r>
        <w:rPr>
          <w:rFonts w:hint="eastAsia"/>
        </w:rPr>
        <w:t>，实现企业生产智能化、管理智能化、服务智能化与产品智能化。</w:t>
      </w:r>
      <w:r>
        <w:rPr>
          <w:lang w:eastAsia="zh-Hans"/>
        </w:rPr>
        <w:t>借助工业技术和</w:t>
      </w:r>
      <w:r>
        <w:rPr>
          <w:rFonts w:hint="eastAsia"/>
        </w:rPr>
        <w:t>数字经济</w:t>
      </w:r>
      <w:r>
        <w:rPr>
          <w:lang w:eastAsia="zh-Hans"/>
        </w:rPr>
        <w:t>的结合，</w:t>
      </w:r>
      <w:r>
        <w:rPr>
          <w:rFonts w:hint="eastAsia"/>
        </w:rPr>
        <w:t>提升企业信息力，</w:t>
      </w:r>
      <w:r>
        <w:rPr>
          <w:lang w:eastAsia="zh-Hans"/>
        </w:rPr>
        <w:t>实现产品全生命周期管理</w:t>
      </w:r>
      <w:r>
        <w:rPr>
          <w:rFonts w:hint="eastAsia"/>
          <w:lang w:eastAsia="zh-Hans"/>
        </w:rPr>
        <w:t>。加大政策精准扶持力度，</w:t>
      </w:r>
      <w:r>
        <w:rPr>
          <w:rFonts w:hint="eastAsia"/>
        </w:rPr>
        <w:t>在全区规上企业中开展智能诊断服务工作，做到“一企一方案”，深挖企业在智能制造发展中存在的瓶颈问题，大力推动企业加快智能化改造，建设</w:t>
      </w:r>
      <w:r>
        <w:rPr>
          <w:lang w:eastAsia="zh-Hans"/>
        </w:rPr>
        <w:t>一批具有</w:t>
      </w:r>
      <w:r>
        <w:rPr>
          <w:rFonts w:hint="eastAsia"/>
        </w:rPr>
        <w:t>洞头海洋经济</w:t>
      </w:r>
      <w:r>
        <w:rPr>
          <w:lang w:eastAsia="zh-Hans"/>
        </w:rPr>
        <w:t>特色的工业云服务和工业大数据平台</w:t>
      </w:r>
      <w:r>
        <w:rPr>
          <w:rFonts w:hint="eastAsia"/>
        </w:rPr>
        <w:t>。</w:t>
      </w:r>
    </w:p>
    <w:p>
      <w:pPr>
        <w:spacing w:line="560" w:lineRule="exact"/>
        <w:ind w:firstLine="632" w:firstLineChars="200"/>
        <w:outlineLvl w:val="2"/>
        <w:rPr>
          <w:b/>
          <w:bCs/>
        </w:rPr>
      </w:pPr>
      <w:r>
        <w:rPr>
          <w:rFonts w:hint="eastAsia"/>
          <w:b/>
          <w:bCs/>
        </w:rPr>
        <w:t>3.推进数字经济应用服务</w:t>
      </w:r>
      <w:bookmarkEnd w:id="177"/>
      <w:bookmarkEnd w:id="178"/>
      <w:bookmarkEnd w:id="179"/>
    </w:p>
    <w:p>
      <w:pPr>
        <w:spacing w:line="560" w:lineRule="exact"/>
        <w:ind w:firstLine="632" w:firstLineChars="200"/>
      </w:pPr>
      <w:r>
        <w:rPr>
          <w:rFonts w:hint="eastAsia"/>
          <w:lang w:eastAsia="zh-Hans"/>
        </w:rPr>
        <w:t>在</w:t>
      </w:r>
      <w:r>
        <w:t>推进重点产业、重点园区、重点企业“两化”融合试点</w:t>
      </w:r>
      <w:r>
        <w:rPr>
          <w:rFonts w:hint="eastAsia"/>
          <w:lang w:eastAsia="zh-Hans"/>
        </w:rPr>
        <w:t>的基础上</w:t>
      </w:r>
      <w:r>
        <w:rPr>
          <w:lang w:eastAsia="zh-Hans"/>
        </w:rPr>
        <w:t>，</w:t>
      </w:r>
      <w:r>
        <w:rPr>
          <w:rFonts w:hint="eastAsia"/>
          <w:lang w:eastAsia="zh-Hans"/>
        </w:rPr>
        <w:t>进一步加深融合程度</w:t>
      </w:r>
      <w:r>
        <w:rPr>
          <w:rFonts w:hint="eastAsia"/>
        </w:rPr>
        <w:t>，逐步通过信息化数字化软件ERP、MERS应用在南塘、杨文两大工业园区进行率先构建数字化园区</w:t>
      </w:r>
      <w:r>
        <w:t>。通过两化融合对标评估，引导企业逐级提升信息化应用水平，着力提升规模以上企业两化融合应用水平，促进企业创新能力、劳动生产率、产品质量等核心竞争力整体提高。</w:t>
      </w:r>
      <w:r>
        <w:rPr>
          <w:lang w:eastAsia="zh-Hans"/>
        </w:rPr>
        <w:t>促进5</w:t>
      </w:r>
      <w:r>
        <w:rPr>
          <w:rFonts w:hint="eastAsia"/>
          <w:lang w:eastAsia="zh-Hans"/>
        </w:rPr>
        <w:t>G技术</w:t>
      </w:r>
      <w:r>
        <w:rPr>
          <w:lang w:eastAsia="zh-Hans"/>
        </w:rPr>
        <w:t>在企业研发设计、生产制造、经营管理、销售服务等全流程和全产业链的</w:t>
      </w:r>
      <w:r>
        <w:rPr>
          <w:rFonts w:hint="eastAsia"/>
          <w:lang w:eastAsia="zh-Hans"/>
        </w:rPr>
        <w:t>综合</w:t>
      </w:r>
      <w:r>
        <w:rPr>
          <w:lang w:eastAsia="zh-Hans"/>
        </w:rPr>
        <w:t>应用服务，</w:t>
      </w:r>
      <w:r>
        <w:rPr>
          <w:rFonts w:hint="eastAsia"/>
        </w:rPr>
        <w:t>培育一批示范“智能产线”“数字化车间”“智能工厂”“最美工厂”，探索建设“未来工厂”“透明工厂”。</w:t>
      </w:r>
    </w:p>
    <w:p>
      <w:pPr>
        <w:pStyle w:val="6"/>
        <w:spacing w:before="0" w:after="0" w:line="560" w:lineRule="exact"/>
        <w:ind w:firstLine="632" w:firstLineChars="200"/>
        <w:rPr>
          <w:rFonts w:ascii="楷体" w:hAnsi="楷体" w:eastAsia="楷体" w:cs="楷体"/>
          <w:b w:val="0"/>
          <w:bCs w:val="0"/>
        </w:rPr>
      </w:pPr>
      <w:bookmarkStart w:id="180" w:name="_Toc5929"/>
      <w:bookmarkStart w:id="181" w:name="_Toc11524"/>
      <w:bookmarkStart w:id="182" w:name="_Toc31467"/>
      <w:bookmarkStart w:id="183" w:name="_Toc1057204695"/>
      <w:bookmarkStart w:id="184" w:name="_Toc13536"/>
      <w:bookmarkStart w:id="185" w:name="_Toc32106"/>
      <w:r>
        <w:rPr>
          <w:rFonts w:hint="eastAsia" w:ascii="楷体" w:hAnsi="楷体" w:eastAsia="楷体" w:cs="楷体"/>
          <w:b w:val="0"/>
          <w:bCs w:val="0"/>
        </w:rPr>
        <w:t>（四）主体培育工程</w:t>
      </w:r>
      <w:bookmarkEnd w:id="180"/>
      <w:bookmarkEnd w:id="181"/>
      <w:bookmarkEnd w:id="182"/>
    </w:p>
    <w:p>
      <w:pPr>
        <w:spacing w:line="560" w:lineRule="exact"/>
        <w:ind w:firstLine="632" w:firstLineChars="200"/>
        <w:outlineLvl w:val="2"/>
        <w:rPr>
          <w:b/>
          <w:bCs/>
        </w:rPr>
      </w:pPr>
      <w:r>
        <w:rPr>
          <w:rFonts w:hint="eastAsia"/>
          <w:b/>
          <w:bCs/>
        </w:rPr>
        <w:t>1.实施领军名企</w:t>
      </w:r>
      <w:bookmarkEnd w:id="183"/>
      <w:bookmarkEnd w:id="184"/>
      <w:bookmarkEnd w:id="185"/>
      <w:r>
        <w:rPr>
          <w:rFonts w:hint="eastAsia"/>
          <w:b/>
          <w:bCs/>
        </w:rPr>
        <w:t>领航计划</w:t>
      </w:r>
    </w:p>
    <w:p>
      <w:pPr>
        <w:spacing w:line="560" w:lineRule="exact"/>
        <w:ind w:firstLine="632" w:firstLineChars="200"/>
      </w:pPr>
      <w:r>
        <w:rPr>
          <w:rFonts w:hint="eastAsia"/>
        </w:rPr>
        <w:t>集中优势资源，对规模优势明显、创新能力较强、商业模式领先的龙头企业给予“一企一策”支持，加快形成具有行业引领支撑作用百亿级头部企业。鼓励有条件上市企业围绕提升产业集中度、完善市场网络等开展联合重组，鼓励上市企业跨界、跨所有制融合发展为综合性大型企业集团。引导龙头企业应用区块链、供应链金融等新模式，为配套中小企业提供订单融资、应收账款融资和仓单融资等服务，帮助上下游中小供应商解决融资难题。至2025年，争取培育一批省市级创新型领军名企。</w:t>
      </w:r>
    </w:p>
    <w:p>
      <w:pPr>
        <w:spacing w:line="560" w:lineRule="exact"/>
        <w:ind w:firstLine="632" w:firstLineChars="200"/>
        <w:outlineLvl w:val="2"/>
        <w:rPr>
          <w:b/>
          <w:bCs/>
        </w:rPr>
      </w:pPr>
      <w:bookmarkStart w:id="186" w:name="_Toc707"/>
      <w:bookmarkStart w:id="187" w:name="_Toc159613587"/>
      <w:bookmarkStart w:id="188" w:name="_Toc164"/>
      <w:r>
        <w:rPr>
          <w:rFonts w:hint="eastAsia"/>
          <w:b/>
          <w:bCs/>
        </w:rPr>
        <w:t>2.实施领头企业</w:t>
      </w:r>
      <w:bookmarkEnd w:id="186"/>
      <w:bookmarkEnd w:id="187"/>
      <w:bookmarkEnd w:id="188"/>
      <w:r>
        <w:rPr>
          <w:rFonts w:hint="eastAsia"/>
          <w:b/>
          <w:bCs/>
        </w:rPr>
        <w:t>培育计划</w:t>
      </w:r>
    </w:p>
    <w:p>
      <w:pPr>
        <w:spacing w:line="560" w:lineRule="exact"/>
        <w:ind w:firstLine="632" w:firstLineChars="200"/>
      </w:pPr>
      <w:r>
        <w:rPr>
          <w:rFonts w:hint="eastAsia"/>
        </w:rPr>
        <w:t>建立上市、新三板后备企业库，积极培育和引导企业上市。重点培育和发展成长性好、竞争力强、技术优势明显，具有较强自主创新能力和发展潜力的成长型小企业，促进中小企业走专业化、精细化、特色化、新颖化发展之路，不断提高发展质量和水平。培育一批“隐形冠军”企业，争创一批中国制造业单项冠军企业、省级制造业单项冠军和“隐形冠军”企业，发展一批“隐形冠军”潜力企业。推进“雄鹰行动”企业培育计划，建立后备梯队培育库，实施“一企一策”，指导企业制定三年发展规划和年度推进计划，逐级培养、梯次提升，引领和带动更多的企业走“专特优精”发展道路。</w:t>
      </w:r>
    </w:p>
    <w:p>
      <w:pPr>
        <w:spacing w:line="560" w:lineRule="exact"/>
        <w:ind w:firstLine="632" w:firstLineChars="200"/>
        <w:outlineLvl w:val="2"/>
        <w:rPr>
          <w:b/>
          <w:bCs/>
        </w:rPr>
      </w:pPr>
      <w:bookmarkStart w:id="189" w:name="_Toc418481606"/>
      <w:bookmarkStart w:id="190" w:name="_Toc10245"/>
      <w:bookmarkStart w:id="191" w:name="_Toc6153"/>
      <w:r>
        <w:rPr>
          <w:rFonts w:hint="eastAsia"/>
          <w:b/>
          <w:bCs/>
        </w:rPr>
        <w:t>3.实施小微企业</w:t>
      </w:r>
      <w:bookmarkEnd w:id="189"/>
      <w:bookmarkEnd w:id="190"/>
      <w:bookmarkEnd w:id="191"/>
      <w:r>
        <w:rPr>
          <w:rFonts w:hint="eastAsia"/>
          <w:b/>
          <w:bCs/>
        </w:rPr>
        <w:t>孵化计划</w:t>
      </w:r>
    </w:p>
    <w:p>
      <w:pPr>
        <w:spacing w:line="560" w:lineRule="exact"/>
        <w:ind w:firstLine="632" w:firstLineChars="200"/>
      </w:pPr>
      <w:r>
        <w:rPr>
          <w:rFonts w:hint="eastAsia"/>
          <w:lang w:eastAsia="zh-Hans"/>
        </w:rPr>
        <w:t>着力推动小微企业提升发展、创新发展和集约发展，促进小微企业再创新优势。</w:t>
      </w:r>
      <w:r>
        <w:rPr>
          <w:rFonts w:hint="eastAsia"/>
        </w:rPr>
        <w:t>提供</w:t>
      </w:r>
      <w:r>
        <w:rPr>
          <w:rFonts w:hint="eastAsia"/>
          <w:lang w:eastAsia="zh-Hans"/>
        </w:rPr>
        <w:t>创新创业</w:t>
      </w:r>
      <w:r>
        <w:rPr>
          <w:rFonts w:hint="eastAsia"/>
        </w:rPr>
        <w:t>要素支撑</w:t>
      </w:r>
      <w:r>
        <w:rPr>
          <w:rFonts w:hint="eastAsia"/>
          <w:lang w:eastAsia="zh-Hans"/>
        </w:rPr>
        <w:t>，激发小微企业创新创业活力，促进各类社会资本与各种科技成果和创业人才对接，不断提高科技型小微企业在小微企业中的比重。建立中小企业公共服务平台</w:t>
      </w:r>
      <w:r>
        <w:rPr>
          <w:lang w:eastAsia="zh-Hans"/>
        </w:rPr>
        <w:t>，</w:t>
      </w:r>
      <w:r>
        <w:rPr>
          <w:rFonts w:hint="eastAsia"/>
        </w:rPr>
        <w:t>大力整合各类专项资金如工业发展资金、商贸发展资金、人才培养工作经费、战略性新兴产业专项资金，用于支持小微企业加快技术改造、提升创新能力、促进科技成果转化、开拓市场、人才培养储备、就业引导和保障等。开展科技型中小微企业和初创型企业的调研分析，建立高新技术企业培育备选库，推进科技型企业“小升规”“高升规”“规进高”。</w:t>
      </w:r>
    </w:p>
    <w:p>
      <w:pPr>
        <w:pStyle w:val="6"/>
        <w:spacing w:before="0" w:after="0" w:line="560" w:lineRule="exact"/>
        <w:ind w:firstLine="632" w:firstLineChars="200"/>
        <w:rPr>
          <w:rFonts w:ascii="楷体" w:hAnsi="楷体" w:eastAsia="楷体" w:cs="楷体"/>
          <w:b w:val="0"/>
          <w:bCs w:val="0"/>
        </w:rPr>
      </w:pPr>
      <w:bookmarkStart w:id="192" w:name="_Toc29177"/>
      <w:bookmarkStart w:id="193" w:name="_Toc28071"/>
      <w:bookmarkStart w:id="194" w:name="_Toc22333"/>
      <w:r>
        <w:rPr>
          <w:rFonts w:hint="eastAsia" w:ascii="楷体" w:hAnsi="楷体" w:eastAsia="楷体" w:cs="楷体"/>
          <w:b w:val="0"/>
          <w:bCs w:val="0"/>
        </w:rPr>
        <w:t>（五）平台构建工程</w:t>
      </w:r>
      <w:bookmarkEnd w:id="192"/>
      <w:bookmarkEnd w:id="193"/>
      <w:bookmarkEnd w:id="194"/>
    </w:p>
    <w:p>
      <w:pPr>
        <w:spacing w:line="560" w:lineRule="exact"/>
        <w:ind w:firstLine="632" w:firstLineChars="200"/>
        <w:outlineLvl w:val="2"/>
        <w:rPr>
          <w:b/>
          <w:bCs/>
        </w:rPr>
      </w:pPr>
      <w:r>
        <w:rPr>
          <w:rFonts w:hint="eastAsia"/>
          <w:b/>
          <w:bCs/>
        </w:rPr>
        <w:t>1.</w:t>
      </w:r>
      <w:r>
        <w:rPr>
          <w:b/>
          <w:bCs/>
        </w:rPr>
        <w:t>引导企业入园，促进产业集聚</w:t>
      </w:r>
    </w:p>
    <w:p>
      <w:pPr>
        <w:spacing w:line="560" w:lineRule="exact"/>
        <w:ind w:firstLine="632" w:firstLineChars="200"/>
        <w:rPr>
          <w:b/>
          <w:bCs/>
        </w:rPr>
      </w:pPr>
      <w:r>
        <w:t>围绕本区主导产业改造提升，着力</w:t>
      </w:r>
      <w:r>
        <w:rPr>
          <w:rFonts w:hint="eastAsia"/>
        </w:rPr>
        <w:t>机械汽配产业园、电子电器产业园等平台专业发展，按照“一企一园”的标准，加快实现重点行业关键配套产业园全覆盖。</w:t>
      </w:r>
      <w:r>
        <w:t>建设主导产业集聚和产业链上下游延伸拓展的特色产业基地，优先保障科技型、成长性、创新型企业入驻，鼓励同行业、产业链上下游企业和配套企业入园集聚发展，承接</w:t>
      </w:r>
      <w:r>
        <w:rPr>
          <w:rFonts w:hint="eastAsia"/>
        </w:rPr>
        <w:t>“低散乱”企业</w:t>
      </w:r>
      <w:r>
        <w:t>集中整治、企业搬迁改造、小微企业转型升级等行动企业转移。</w:t>
      </w:r>
    </w:p>
    <w:p>
      <w:pPr>
        <w:spacing w:line="560" w:lineRule="exact"/>
        <w:ind w:firstLine="632" w:firstLineChars="200"/>
        <w:outlineLvl w:val="2"/>
        <w:rPr>
          <w:b/>
          <w:bCs/>
        </w:rPr>
      </w:pPr>
      <w:r>
        <w:rPr>
          <w:rFonts w:hint="eastAsia"/>
          <w:b/>
          <w:bCs/>
        </w:rPr>
        <w:t>2.</w:t>
      </w:r>
      <w:r>
        <w:rPr>
          <w:b/>
          <w:bCs/>
        </w:rPr>
        <w:t>完善服务体系，提升服务能力</w:t>
      </w:r>
    </w:p>
    <w:p>
      <w:pPr>
        <w:spacing w:line="560" w:lineRule="exact"/>
        <w:ind w:firstLine="632" w:firstLineChars="200"/>
      </w:pPr>
      <w:r>
        <w:t>以产城融合为理念，进一步加强</w:t>
      </w:r>
      <w:r>
        <w:rPr>
          <w:rFonts w:hint="eastAsia"/>
        </w:rPr>
        <w:t>园区</w:t>
      </w:r>
      <w:r>
        <w:t>与周边公共大配套衔接，促使</w:t>
      </w:r>
      <w:r>
        <w:rPr>
          <w:rFonts w:hint="eastAsia"/>
        </w:rPr>
        <w:t>园区</w:t>
      </w:r>
      <w:r>
        <w:t>实现生产、生活、生态有机融合。对</w:t>
      </w:r>
      <w:r>
        <w:rPr>
          <w:rFonts w:hint="eastAsia"/>
        </w:rPr>
        <w:t>已有或拟建设园区的</w:t>
      </w:r>
      <w:r>
        <w:t>公共服务配套规划进行查缺补漏，及时调整规划建设方案。鼓励霓屿紫菜现代产业园</w:t>
      </w:r>
      <w:r>
        <w:rPr>
          <w:rFonts w:hint="eastAsia"/>
        </w:rPr>
        <w:t>等特色平台</w:t>
      </w:r>
      <w:r>
        <w:t>通过洞头区海洋藻类技术研发中心、温州市紫菜行业技术创新服务中心等创新载体和服务机构，为</w:t>
      </w:r>
      <w:r>
        <w:rPr>
          <w:rFonts w:hint="eastAsia"/>
        </w:rPr>
        <w:t>园区</w:t>
      </w:r>
      <w:r>
        <w:t>搭建科技服务桥梁，引导企业加大科技创新投入。鼓励引入第三方服务资源，合作提供各类专业服务，创新融资服务模式，引入多元化融资渠道，破解企业融资难、融资贵问题。</w:t>
      </w:r>
    </w:p>
    <w:p>
      <w:pPr>
        <w:spacing w:line="560" w:lineRule="exact"/>
        <w:ind w:firstLine="632" w:firstLineChars="200"/>
        <w:outlineLvl w:val="2"/>
        <w:rPr>
          <w:b/>
          <w:bCs/>
        </w:rPr>
      </w:pPr>
      <w:r>
        <w:rPr>
          <w:rFonts w:hint="eastAsia"/>
          <w:b/>
          <w:bCs/>
        </w:rPr>
        <w:t>3.</w:t>
      </w:r>
      <w:r>
        <w:rPr>
          <w:b/>
          <w:bCs/>
        </w:rPr>
        <w:t>狠抓节能降耗，建设</w:t>
      </w:r>
      <w:r>
        <w:rPr>
          <w:rFonts w:hint="eastAsia"/>
          <w:b/>
          <w:bCs/>
        </w:rPr>
        <w:t>现代</w:t>
      </w:r>
      <w:r>
        <w:rPr>
          <w:b/>
          <w:bCs/>
        </w:rPr>
        <w:t>园区</w:t>
      </w:r>
    </w:p>
    <w:p>
      <w:pPr>
        <w:widowControl/>
        <w:spacing w:line="300" w:lineRule="atLeast"/>
        <w:ind w:firstLine="620" w:firstLineChars="196"/>
      </w:pPr>
      <w:r>
        <w:t>加强</w:t>
      </w:r>
      <w:r>
        <w:rPr>
          <w:rFonts w:hint="eastAsia"/>
        </w:rPr>
        <w:t>园区</w:t>
      </w:r>
      <w:r>
        <w:t>总体设计控制，积极推动</w:t>
      </w:r>
      <w:r>
        <w:rPr>
          <w:rFonts w:hint="eastAsia"/>
        </w:rPr>
        <w:t>现代</w:t>
      </w:r>
      <w:r>
        <w:t>园区建设，明确绿色化要求，优化功能布局、建筑规模、厂房结构、公用配套设施等内容的规划和设计。强化园区绿色发展管理，推动集中供热、集中供气、集中处理生产污水等基础设施共建共享，开展园区能源梯级利用和水资源循环利用，打造绿色园区生态产业链，推进园区及企业排放治理，建立健全环境监管治理机制。</w:t>
      </w:r>
      <w:r>
        <w:rPr>
          <w:rFonts w:hint="eastAsia"/>
        </w:rPr>
        <w:t>加快构建路网、水网、电网、信息通讯、排水、环保等基础设施和配套设施建设，做好工业发展重点区域、重点产业、重点园区、重点项目和基础设施建设规划的衔接，进一步改善工业发展的基础条件，全面提升园区配套服务水平。</w:t>
      </w:r>
    </w:p>
    <w:p>
      <w:pPr>
        <w:pStyle w:val="6"/>
        <w:spacing w:before="0" w:after="0" w:line="560" w:lineRule="exact"/>
        <w:ind w:firstLine="632" w:firstLineChars="200"/>
        <w:rPr>
          <w:rFonts w:ascii="楷体" w:hAnsi="楷体" w:eastAsia="楷体" w:cs="楷体"/>
          <w:b w:val="0"/>
          <w:bCs w:val="0"/>
        </w:rPr>
      </w:pPr>
      <w:bookmarkStart w:id="195" w:name="_Toc24592"/>
      <w:bookmarkStart w:id="196" w:name="_Toc25286"/>
      <w:bookmarkStart w:id="197" w:name="_Toc31030"/>
      <w:r>
        <w:rPr>
          <w:rFonts w:hint="eastAsia" w:ascii="楷体" w:hAnsi="楷体" w:eastAsia="楷体" w:cs="楷体"/>
          <w:b w:val="0"/>
          <w:bCs w:val="0"/>
        </w:rPr>
        <w:t>（六）绿色制造工程</w:t>
      </w:r>
      <w:bookmarkEnd w:id="195"/>
      <w:bookmarkEnd w:id="196"/>
      <w:bookmarkEnd w:id="197"/>
    </w:p>
    <w:p>
      <w:pPr>
        <w:spacing w:line="560" w:lineRule="exact"/>
        <w:ind w:firstLine="632" w:firstLineChars="200"/>
        <w:outlineLvl w:val="2"/>
        <w:rPr>
          <w:b/>
          <w:bCs/>
        </w:rPr>
      </w:pPr>
      <w:r>
        <w:rPr>
          <w:rFonts w:hint="eastAsia"/>
          <w:b/>
          <w:bCs/>
        </w:rPr>
        <w:t>1.推动传统制造业改造升级</w:t>
      </w:r>
    </w:p>
    <w:p>
      <w:pPr>
        <w:spacing w:line="560" w:lineRule="exact"/>
        <w:ind w:firstLine="632" w:firstLineChars="200"/>
      </w:pPr>
      <w:r>
        <w:rPr>
          <w:rFonts w:hint="eastAsia"/>
        </w:rPr>
        <w:t>支持重点行业、高端产品、关键环节革新传统生产工艺装备，鼓励企业采用先进适用清洁生产工艺技术实施升级改造，全面提升设计、制造、工艺、管理水平。以化工、建材、沥青等高能耗、重污染、高排放行业为重点，组织实施一批清洁生产技术改造项目。统筹“碳达峰”意愿，积极推进“碳中和”实践。强化废弃资源综合利用，鼓励“再制造”产业发展。</w:t>
      </w:r>
      <w:r>
        <w:t>加快工业发展与</w:t>
      </w:r>
      <w:r>
        <w:rPr>
          <w:rFonts w:hint="eastAsia"/>
        </w:rPr>
        <w:t>数字经济</w:t>
      </w:r>
      <w:r>
        <w:t>发展密切相关的生产性服务软件和信息技术应用产业，加强工业软件在机械汽车、</w:t>
      </w:r>
      <w:r>
        <w:rPr>
          <w:rFonts w:hint="eastAsia"/>
          <w:lang w:eastAsia="zh-Hans"/>
        </w:rPr>
        <w:t>电子电器</w:t>
      </w:r>
      <w:r>
        <w:t>等传统产业改造的推广应用，推动工业企业实现研发设计数字化、制造装备智能化、生产过程自动化和经营管理信息化</w:t>
      </w:r>
      <w:r>
        <w:rPr>
          <w:rFonts w:hint="eastAsia"/>
        </w:rPr>
        <w:t>，推进企业能源管理体系建设和能源大数据管理平台建设，采用互联网</w:t>
      </w:r>
      <w:r>
        <w:t>+大数据分析技术</w:t>
      </w:r>
      <w:r>
        <w:rPr>
          <w:rFonts w:hint="eastAsia"/>
        </w:rPr>
        <w:t>，提高能源管理信息化水平。</w:t>
      </w:r>
    </w:p>
    <w:p>
      <w:pPr>
        <w:spacing w:line="560" w:lineRule="exact"/>
        <w:ind w:firstLine="632" w:firstLineChars="200"/>
        <w:outlineLvl w:val="2"/>
      </w:pPr>
      <w:r>
        <w:rPr>
          <w:rFonts w:hint="eastAsia"/>
          <w:b/>
          <w:bCs/>
        </w:rPr>
        <w:t>2.提升重点行业能效水平</w:t>
      </w:r>
    </w:p>
    <w:p>
      <w:pPr>
        <w:spacing w:line="560" w:lineRule="exact"/>
        <w:ind w:firstLine="632" w:firstLineChars="200"/>
      </w:pPr>
      <w:r>
        <w:rPr>
          <w:rFonts w:hint="eastAsia"/>
        </w:rPr>
        <w:t>严格落实用能强度和总量“双控”制度，围绕化工、医药等重点行业，开展重点用能单位节能低碳行动和重点产业能效提升行动，严格实行固定资产投资项目节能评估和审查制度，加强节能技术、清洁生产技术、低碳技术等绿色工业发展支撑技术的研发和应用，鼓励企业通过合同能源管理实现工业发展节能增效。大力推广清洁能源和可再生能源综合利用，对排放不达标设备逐步实施改造。探索开发海洋“碳汇”，全面加强生态系统碳汇能力建设。全面实施能耗限额标准，开展企业产品能效“领跑者”活动，切实加强节能监察和对标力度，提升高耗能行业能效水平。</w:t>
      </w:r>
    </w:p>
    <w:p>
      <w:pPr>
        <w:spacing w:line="560" w:lineRule="exact"/>
        <w:ind w:firstLine="632" w:firstLineChars="200"/>
        <w:outlineLvl w:val="2"/>
        <w:rPr>
          <w:b/>
          <w:bCs/>
        </w:rPr>
      </w:pPr>
      <w:r>
        <w:rPr>
          <w:rFonts w:hint="eastAsia"/>
          <w:b/>
          <w:bCs/>
        </w:rPr>
        <w:t>3.加快构建绿色制造体系</w:t>
      </w:r>
    </w:p>
    <w:p>
      <w:pPr>
        <w:spacing w:line="560" w:lineRule="exact"/>
        <w:ind w:firstLine="632" w:firstLineChars="200"/>
        <w:rPr>
          <w:rFonts w:hint="eastAsia"/>
        </w:rPr>
      </w:pPr>
      <w:r>
        <w:rPr>
          <w:rFonts w:hint="eastAsia"/>
        </w:rPr>
        <w:t>引导企业树立绿色制造理念，推广绿色设计和绿色产品开发，推行企业产品标准、质量、安全自我声明和监督制度，加快构建绿色制造体系。在易污染、高耗能和安全风险高的行业大力推广应用物联网技术，实现信息化的计量供料、自动化的生产控制、智能化的过程计量定位检测、网络化的环保与安全控制、数字化的产品质量检测保障、物流化的包装配送，确保全过程、各环节的精准生产与管控。加强对各类废物的循环利用，实现工业垃圾和工业废水无害化处理，实现近零排放。</w:t>
      </w:r>
    </w:p>
    <w:p>
      <w:pPr>
        <w:pStyle w:val="6"/>
        <w:spacing w:before="0" w:after="0" w:line="560" w:lineRule="exact"/>
        <w:ind w:firstLine="632" w:firstLineChars="200"/>
        <w:rPr>
          <w:rFonts w:ascii="楷体" w:hAnsi="楷体" w:eastAsia="楷体" w:cs="楷体"/>
          <w:b w:val="0"/>
          <w:bCs w:val="0"/>
        </w:rPr>
      </w:pPr>
      <w:bookmarkStart w:id="198" w:name="_Toc21332"/>
      <w:bookmarkStart w:id="199" w:name="_Toc20259"/>
      <w:bookmarkStart w:id="200" w:name="_Toc801"/>
      <w:bookmarkStart w:id="201" w:name="_Toc18892"/>
      <w:bookmarkStart w:id="202" w:name="_Toc14368"/>
      <w:bookmarkStart w:id="203" w:name="_Toc292976597"/>
      <w:r>
        <w:rPr>
          <w:rFonts w:hint="eastAsia" w:ascii="楷体" w:hAnsi="楷体" w:eastAsia="楷体" w:cs="楷体"/>
          <w:b w:val="0"/>
          <w:bCs w:val="0"/>
        </w:rPr>
        <w:t>（七）开放合作工程</w:t>
      </w:r>
      <w:bookmarkEnd w:id="198"/>
      <w:bookmarkEnd w:id="199"/>
      <w:bookmarkEnd w:id="200"/>
    </w:p>
    <w:p>
      <w:pPr>
        <w:spacing w:line="560" w:lineRule="exact"/>
        <w:ind w:firstLine="632" w:firstLineChars="200"/>
        <w:outlineLvl w:val="2"/>
        <w:rPr>
          <w:b/>
          <w:bCs/>
        </w:rPr>
      </w:pPr>
      <w:r>
        <w:rPr>
          <w:rFonts w:hint="eastAsia"/>
          <w:b/>
          <w:bCs/>
        </w:rPr>
        <w:t>1.深化企业经营优势</w:t>
      </w:r>
    </w:p>
    <w:p>
      <w:pPr>
        <w:spacing w:line="560" w:lineRule="exact"/>
        <w:ind w:firstLine="632" w:firstLineChars="200"/>
      </w:pPr>
      <w:r>
        <w:rPr>
          <w:rFonts w:hint="eastAsia"/>
        </w:rPr>
        <w:t>抢抓新一轮科技革命和产业变革机遇，加快构建创新网络体系，重点突破一批“卡脖子”关键共性技术，在数字经济、智能制造、海洋经济等重点领域技术实现突破发展。面向国内经济结构战略性升级和打造“双引擎”、迈向“双中高”的现实需求，积极应用先进技术改造提升传统产业，加快发展新型制造和服务型制造新模式，提高产业发展质量和水平。</w:t>
      </w:r>
    </w:p>
    <w:p>
      <w:pPr>
        <w:spacing w:line="560" w:lineRule="exact"/>
        <w:ind w:firstLine="632" w:firstLineChars="200"/>
        <w:outlineLvl w:val="2"/>
        <w:rPr>
          <w:b/>
          <w:bCs/>
        </w:rPr>
      </w:pPr>
      <w:r>
        <w:rPr>
          <w:rFonts w:hint="eastAsia"/>
          <w:b/>
          <w:bCs/>
        </w:rPr>
        <w:t>2.提高企业经营能力</w:t>
      </w:r>
    </w:p>
    <w:p>
      <w:pPr>
        <w:spacing w:line="560" w:lineRule="exact"/>
        <w:ind w:firstLine="632" w:firstLineChars="200"/>
      </w:pPr>
      <w:r>
        <w:rPr>
          <w:rFonts w:hint="eastAsia"/>
        </w:rPr>
        <w:t>鼓励企业“左手全球、右手本土”，着力用好国际国内两个市场、两种资源，加快融入“双循环”发展新格局。瞄准海峡西岸经济区、海洋经济示范区窗口期，根据市场需求不断创新产品和服务，打造富有竞争力的产业链，夯实本土产业链竞争优势。引导龙头企业科学制定并有效实施符合自身实际的海外投资战略，加强与区域内外产业价值链的衔接，共同开拓国际、国内市场。</w:t>
      </w:r>
    </w:p>
    <w:p>
      <w:pPr>
        <w:spacing w:line="560" w:lineRule="exact"/>
        <w:ind w:firstLine="632" w:firstLineChars="200"/>
        <w:outlineLvl w:val="2"/>
        <w:rPr>
          <w:b/>
          <w:bCs/>
        </w:rPr>
      </w:pPr>
      <w:r>
        <w:rPr>
          <w:rFonts w:hint="eastAsia"/>
          <w:b/>
          <w:bCs/>
        </w:rPr>
        <w:t>3.提升企业经营环境</w:t>
      </w:r>
    </w:p>
    <w:p>
      <w:pPr>
        <w:spacing w:line="560" w:lineRule="exact"/>
        <w:ind w:firstLine="632" w:firstLineChars="200"/>
      </w:pPr>
      <w:r>
        <w:rPr>
          <w:rFonts w:hint="eastAsia"/>
        </w:rPr>
        <w:t>支持企业融入“双循环”体系，谋划福利政策“大礼包”。支持企业技改扩规、转型升级，对港口航运企业、外贸企业等发放水运补贴，发放外经贸专项资金，组织企业参加国内外交易博览会，推进线上线下融合。推进现代物流园区、冷链物流基地、智慧仓配基地等配套设施建设，延伸跨境电商辐射网络，打造多样化跨境物流服务，构建“买全球、卖全球”双市场，为企业开展跨境贸易提供有利支撑。</w:t>
      </w:r>
    </w:p>
    <w:p>
      <w:pPr>
        <w:pStyle w:val="5"/>
        <w:spacing w:line="560" w:lineRule="exact"/>
        <w:ind w:firstLine="632" w:firstLineChars="200"/>
        <w:jc w:val="both"/>
        <w:rPr>
          <w:rFonts w:ascii="黑体" w:hAnsi="黑体" w:eastAsia="黑体" w:cstheme="minorBidi"/>
          <w:bCs/>
          <w:sz w:val="32"/>
          <w:lang w:val="en-US"/>
        </w:rPr>
      </w:pPr>
      <w:bookmarkStart w:id="204" w:name="_Toc30486"/>
      <w:bookmarkStart w:id="205" w:name="_Toc11232"/>
      <w:bookmarkStart w:id="206" w:name="_Toc24334"/>
      <w:r>
        <w:rPr>
          <w:rFonts w:hint="eastAsia" w:ascii="黑体" w:hAnsi="黑体" w:eastAsia="黑体" w:cstheme="minorBidi"/>
          <w:bCs/>
          <w:sz w:val="32"/>
          <w:lang w:val="en-US"/>
        </w:rPr>
        <w:t>六、</w:t>
      </w:r>
      <w:bookmarkEnd w:id="201"/>
      <w:bookmarkEnd w:id="202"/>
      <w:bookmarkEnd w:id="203"/>
      <w:r>
        <w:rPr>
          <w:rFonts w:hint="eastAsia" w:ascii="黑体" w:hAnsi="黑体" w:eastAsia="黑体" w:cstheme="minorBidi"/>
          <w:bCs/>
          <w:sz w:val="32"/>
          <w:lang w:val="en-US"/>
        </w:rPr>
        <w:t>保障措施</w:t>
      </w:r>
      <w:bookmarkEnd w:id="204"/>
      <w:bookmarkEnd w:id="205"/>
      <w:bookmarkEnd w:id="206"/>
    </w:p>
    <w:p>
      <w:pPr>
        <w:pStyle w:val="6"/>
        <w:spacing w:before="0" w:after="0" w:line="560" w:lineRule="exact"/>
        <w:ind w:firstLine="632" w:firstLineChars="200"/>
        <w:rPr>
          <w:rFonts w:ascii="楷体" w:hAnsi="楷体" w:eastAsia="楷体" w:cs="楷体"/>
          <w:b w:val="0"/>
          <w:bCs w:val="0"/>
        </w:rPr>
      </w:pPr>
      <w:bookmarkStart w:id="207" w:name="_Toc24818"/>
      <w:bookmarkStart w:id="208" w:name="_Toc9261"/>
      <w:bookmarkStart w:id="209" w:name="_Toc23583"/>
      <w:bookmarkStart w:id="210" w:name="_Toc31785"/>
      <w:bookmarkStart w:id="211" w:name="_Toc2025146855"/>
      <w:bookmarkStart w:id="212" w:name="_Toc31826"/>
      <w:r>
        <w:rPr>
          <w:rFonts w:hint="eastAsia" w:ascii="楷体" w:hAnsi="楷体" w:eastAsia="楷体" w:cs="楷体"/>
          <w:b w:val="0"/>
          <w:bCs w:val="0"/>
        </w:rPr>
        <w:t>（一）加强政策扶持，凝聚发展合力</w:t>
      </w:r>
      <w:bookmarkEnd w:id="207"/>
      <w:bookmarkEnd w:id="208"/>
      <w:bookmarkEnd w:id="209"/>
      <w:bookmarkEnd w:id="210"/>
      <w:bookmarkEnd w:id="211"/>
      <w:bookmarkEnd w:id="212"/>
    </w:p>
    <w:p>
      <w:pPr>
        <w:spacing w:line="560" w:lineRule="exact"/>
        <w:ind w:firstLine="632" w:firstLineChars="200"/>
      </w:pPr>
      <w:r>
        <w:rPr>
          <w:rFonts w:hint="eastAsia"/>
        </w:rPr>
        <w:t>充分发挥政府引导作用，健全市场监管体系，制定并严格实施准入制度，拒绝高消耗、高污染、高排放、低产出的企业进入；健全激励机制，制定实施投资、财税、用地、环境保护、招商、科技、金融和人才等系列政策，聚焦闭环式全程服务、体系化联动服务、滴灌式精准服务，迭代升级企业码，突出政策直兑、诉求直办，完善惠企政策全流程服务；建立快捷的审批制度，对重点产业、重点企业、重点项目涉及的土地使用、项目审批、工商注册、环保评估、消防安全、税费缴纳等方面，建立“绿色通道”。</w:t>
      </w:r>
    </w:p>
    <w:p>
      <w:pPr>
        <w:pStyle w:val="6"/>
        <w:spacing w:before="0" w:after="0" w:line="560" w:lineRule="exact"/>
        <w:ind w:firstLine="632" w:firstLineChars="200"/>
        <w:rPr>
          <w:rFonts w:ascii="楷体" w:hAnsi="楷体" w:eastAsia="楷体" w:cs="楷体"/>
          <w:b w:val="0"/>
          <w:bCs w:val="0"/>
        </w:rPr>
      </w:pPr>
      <w:bookmarkStart w:id="213" w:name="_Toc30489"/>
      <w:bookmarkStart w:id="214" w:name="_Toc8414"/>
      <w:bookmarkStart w:id="215" w:name="_Toc12621"/>
      <w:bookmarkStart w:id="216" w:name="_Toc451204406"/>
      <w:bookmarkStart w:id="217" w:name="_Toc10268"/>
      <w:bookmarkStart w:id="218" w:name="_Toc13340"/>
      <w:bookmarkStart w:id="219" w:name="_Toc28415"/>
      <w:bookmarkStart w:id="220" w:name="_Toc1174870682"/>
      <w:bookmarkStart w:id="221" w:name="_Toc17860"/>
      <w:r>
        <w:rPr>
          <w:rFonts w:hint="eastAsia" w:ascii="楷体" w:hAnsi="楷体" w:eastAsia="楷体" w:cs="楷体"/>
          <w:b w:val="0"/>
          <w:bCs w:val="0"/>
        </w:rPr>
        <w:t>（二）深化人才培育，牢固发展内力</w:t>
      </w:r>
      <w:bookmarkEnd w:id="213"/>
      <w:bookmarkEnd w:id="214"/>
      <w:bookmarkEnd w:id="215"/>
      <w:bookmarkEnd w:id="216"/>
      <w:bookmarkEnd w:id="217"/>
      <w:bookmarkEnd w:id="218"/>
    </w:p>
    <w:p>
      <w:pPr>
        <w:ind w:firstLine="632" w:firstLineChars="200"/>
        <w:rPr>
          <w:color w:val="000000" w:themeColor="text1"/>
          <w:shd w:val="clear" w:color="auto" w:fill="FFFFFF"/>
          <w14:textFill>
            <w14:solidFill>
              <w14:schemeClr w14:val="tx1"/>
            </w14:solidFill>
          </w14:textFill>
        </w:rPr>
      </w:pPr>
      <w:bookmarkStart w:id="222" w:name="_Toc15690"/>
      <w:bookmarkStart w:id="223" w:name="_Toc30259"/>
      <w:bookmarkStart w:id="224" w:name="_Toc2086901856"/>
      <w:r>
        <w:rPr>
          <w:rFonts w:hint="eastAsia"/>
        </w:rPr>
        <w:t>以工业和数字经济发展的实际人才需要为导向，</w:t>
      </w:r>
      <w:r>
        <w:rPr>
          <w:rFonts w:hint="eastAsia" w:hAnsiTheme="minorHAnsi" w:cstheme="minorBidi"/>
          <w:color w:val="000000" w:themeColor="text1"/>
          <w14:textFill>
            <w14:solidFill>
              <w14:schemeClr w14:val="tx1"/>
            </w14:solidFill>
          </w14:textFill>
        </w:rPr>
        <w:t>以“鲲鹏行动”人才计划为抓手，大力引育一批科技顶尖人才和领军人才。</w:t>
      </w:r>
      <w:r>
        <w:rPr>
          <w:rFonts w:hint="eastAsia"/>
        </w:rPr>
        <w:t>依托青科会及</w:t>
      </w:r>
      <w:r>
        <w:rPr>
          <w:rFonts w:hint="eastAsia" w:hAnsiTheme="minorHAnsi" w:cstheme="minorBidi"/>
          <w:color w:val="000000" w:themeColor="text1"/>
          <w14:textFill>
            <w14:solidFill>
              <w14:schemeClr w14:val="tx1"/>
            </w14:solidFill>
          </w14:textFill>
        </w:rPr>
        <w:t>“一园一城一中心”溢出效应，</w:t>
      </w:r>
      <w:r>
        <w:rPr>
          <w:rFonts w:hint="eastAsia"/>
        </w:rPr>
        <w:t>定期开展高层次人才创业创新投融资对接会、高峰论坛，吸引更多海内外科学家把科技成果和智力资源落地洞头。</w:t>
      </w:r>
      <w:r>
        <w:rPr>
          <w:rFonts w:hint="eastAsia" w:hAnsi="华文仿宋" w:cs="华文仿宋"/>
          <w:color w:val="000000" w:themeColor="text1"/>
          <w14:textFill>
            <w14:solidFill>
              <w14:schemeClr w14:val="tx1"/>
            </w14:solidFill>
          </w14:textFill>
        </w:rPr>
        <w:t>构建贯通人才引进、培养、评价、流动、激励的全链条政策体系，</w:t>
      </w:r>
      <w:r>
        <w:rPr>
          <w:rFonts w:hint="eastAsia" w:hAnsiTheme="minorHAnsi" w:cstheme="minorBidi"/>
          <w:color w:val="000000" w:themeColor="text1"/>
          <w14:textFill>
            <w14:solidFill>
              <w14:schemeClr w14:val="tx1"/>
            </w14:solidFill>
          </w14:textFill>
        </w:rPr>
        <w:t>落实“人才新政40条”“510计划”等政策，加大青年人才政策支持力度，建立比潜力、比贡献的青年人才评价体系，吸引青年人才集聚发展。</w:t>
      </w:r>
      <w:r>
        <w:rPr>
          <w:rFonts w:hint="eastAsia" w:cstheme="minorBidi"/>
          <w:color w:val="000000" w:themeColor="text1"/>
          <w:kern w:val="0"/>
          <w14:textFill>
            <w14:solidFill>
              <w14:schemeClr w14:val="tx1"/>
            </w14:solidFill>
          </w14:textFill>
        </w:rPr>
        <w:t>大力推进“人才客厅”“人才社区”建设，切</w:t>
      </w:r>
      <w:r>
        <w:rPr>
          <w:color w:val="000000" w:themeColor="text1"/>
          <w:shd w:val="clear" w:color="auto" w:fill="FFFFFF"/>
          <w14:textFill>
            <w14:solidFill>
              <w14:schemeClr w14:val="tx1"/>
            </w14:solidFill>
          </w14:textFill>
        </w:rPr>
        <w:t>实解决住房、子女教育、医疗保障、配偶就业等实际问题，为各类人才安居乐业创造条件。</w:t>
      </w:r>
    </w:p>
    <w:p>
      <w:pPr>
        <w:pStyle w:val="6"/>
        <w:spacing w:before="0" w:after="0" w:line="560" w:lineRule="exact"/>
        <w:ind w:firstLine="632" w:firstLineChars="200"/>
        <w:rPr>
          <w:rFonts w:ascii="楷体" w:hAnsi="楷体" w:eastAsia="楷体" w:cs="楷体"/>
          <w:b w:val="0"/>
          <w:bCs w:val="0"/>
        </w:rPr>
      </w:pPr>
      <w:bookmarkStart w:id="225" w:name="_Toc22241"/>
      <w:bookmarkStart w:id="226" w:name="_Toc31076"/>
      <w:bookmarkStart w:id="227" w:name="_Toc4922"/>
      <w:r>
        <w:rPr>
          <w:rFonts w:hint="eastAsia" w:ascii="楷体" w:hAnsi="楷体" w:eastAsia="楷体" w:cs="楷体"/>
          <w:b w:val="0"/>
          <w:bCs w:val="0"/>
        </w:rPr>
        <w:t>（三）提升内外互通，协同发展动力</w:t>
      </w:r>
      <w:bookmarkEnd w:id="222"/>
      <w:bookmarkEnd w:id="223"/>
      <w:bookmarkEnd w:id="224"/>
      <w:bookmarkEnd w:id="225"/>
      <w:bookmarkEnd w:id="226"/>
      <w:bookmarkEnd w:id="227"/>
    </w:p>
    <w:p>
      <w:pPr>
        <w:spacing w:line="560" w:lineRule="exact"/>
        <w:ind w:firstLine="632" w:firstLineChars="200"/>
      </w:pPr>
      <w:r>
        <w:rPr>
          <w:rFonts w:hint="eastAsia"/>
        </w:rPr>
        <w:t>加快建成“六横四纵一环”的路网结构，完善瓯江口</w:t>
      </w:r>
      <w:r>
        <w:rPr>
          <w:rFonts w:hint="eastAsia"/>
          <w:lang w:eastAsia="zh-Hans"/>
        </w:rPr>
        <w:t>片</w:t>
      </w:r>
      <w:r>
        <w:rPr>
          <w:rFonts w:hint="eastAsia"/>
        </w:rPr>
        <w:t>区主路网；加速推进228国道、市域铁路S2线、瓯江北口大桥等项目进度，构筑对外交通体系，完善洞头大门—乐清南部—瓯江口核心区半环形交通圈。通过内外交通便利度提升增加区域辐射范围，同时依托大门大桥、甬台温高速复线、G330国道和航道设施，统筹内部三大片区，联结温州市区、乐清，加快区域内各要素流通，优化区域内资源配置，实现内外产业协同，构建区域级产业链发展，增强工业发展新动力。</w:t>
      </w:r>
    </w:p>
    <w:p>
      <w:pPr>
        <w:pStyle w:val="6"/>
        <w:spacing w:before="0" w:after="0" w:line="560" w:lineRule="exact"/>
        <w:ind w:firstLine="632" w:firstLineChars="200"/>
        <w:rPr>
          <w:rFonts w:ascii="楷体" w:hAnsi="楷体" w:eastAsia="楷体" w:cs="楷体"/>
          <w:b w:val="0"/>
          <w:bCs w:val="0"/>
        </w:rPr>
      </w:pPr>
      <w:bookmarkStart w:id="228" w:name="_Toc27521"/>
      <w:bookmarkStart w:id="229" w:name="_Toc19685"/>
      <w:bookmarkStart w:id="230" w:name="_Toc18594"/>
      <w:r>
        <w:rPr>
          <w:rFonts w:hint="eastAsia" w:ascii="楷体" w:hAnsi="楷体" w:eastAsia="楷体" w:cs="楷体"/>
          <w:b w:val="0"/>
          <w:bCs w:val="0"/>
        </w:rPr>
        <w:t>（四）挖掘土地资源，增强要素支撑</w:t>
      </w:r>
      <w:bookmarkEnd w:id="219"/>
      <w:bookmarkEnd w:id="220"/>
      <w:bookmarkEnd w:id="221"/>
      <w:bookmarkEnd w:id="228"/>
      <w:bookmarkEnd w:id="229"/>
      <w:bookmarkEnd w:id="230"/>
    </w:p>
    <w:p>
      <w:pPr>
        <w:widowControl/>
        <w:spacing w:line="300" w:lineRule="atLeast"/>
        <w:ind w:firstLine="620" w:firstLineChars="196"/>
      </w:pPr>
      <w:r>
        <w:rPr>
          <w:rFonts w:ascii="Times New Roman" w:hAnsi="Times New Roman" w:cs="Times New Roman"/>
          <w:color w:val="000000" w:themeColor="text1"/>
          <w:kern w:val="0"/>
          <w14:textFill>
            <w14:solidFill>
              <w14:schemeClr w14:val="tx1"/>
            </w14:solidFill>
          </w14:textFill>
        </w:rPr>
        <w:t>引导激励存量工业用地内涵式挖潜、集约化利用，提升低效工业用地产出效益，为我</w:t>
      </w:r>
      <w:r>
        <w:rPr>
          <w:rFonts w:hint="eastAsia" w:ascii="Times New Roman" w:hAnsi="Times New Roman" w:cs="Times New Roman"/>
          <w:color w:val="000000" w:themeColor="text1"/>
          <w:kern w:val="0"/>
          <w14:textFill>
            <w14:solidFill>
              <w14:schemeClr w14:val="tx1"/>
            </w14:solidFill>
          </w14:textFill>
        </w:rPr>
        <w:t>区</w:t>
      </w:r>
      <w:r>
        <w:rPr>
          <w:rFonts w:ascii="Times New Roman" w:hAnsi="Times New Roman" w:cs="Times New Roman"/>
          <w:color w:val="000000" w:themeColor="text1"/>
          <w:kern w:val="0"/>
          <w14:textFill>
            <w14:solidFill>
              <w14:schemeClr w14:val="tx1"/>
            </w14:solidFill>
          </w14:textFill>
        </w:rPr>
        <w:t>工业经济持续健康发展强化土地要素支撑。</w:t>
      </w:r>
      <w:r>
        <w:rPr>
          <w:rFonts w:hint="eastAsia"/>
        </w:rPr>
        <w:t>优先保障重大工业项目、战略性新兴产业用地和企业扩大规模用地，对一般项目实行差别化的供地政策，提高工业用地准入门槛，提高用地投入产出比。</w:t>
      </w:r>
      <w:r>
        <w:rPr>
          <w:rFonts w:hint="eastAsia"/>
          <w:color w:val="000000"/>
        </w:rPr>
        <w:t>尝试推行产业用地履约保证金制度，在供应方式、使用年限、地价标准等方面实行差别化工业用地供应政策，注重对项目进行跟踪督查，不断提升土地节约与集约利用水平。保障重点项目用地，对事关“十四五”工业经济发展和转型升级的大平台、大项目，在用地指标分配使用过程中给予倾斜，同时依托大中型项目的推进，积极扩展用海空间。</w:t>
      </w:r>
    </w:p>
    <w:p>
      <w:pPr>
        <w:pStyle w:val="6"/>
        <w:spacing w:before="0" w:after="0" w:line="560" w:lineRule="exact"/>
        <w:ind w:firstLine="632" w:firstLineChars="200"/>
        <w:rPr>
          <w:rFonts w:ascii="楷体" w:hAnsi="楷体" w:eastAsia="楷体" w:cs="楷体"/>
          <w:b w:val="0"/>
          <w:bCs w:val="0"/>
        </w:rPr>
      </w:pPr>
      <w:bookmarkStart w:id="231" w:name="_Toc20553"/>
      <w:bookmarkStart w:id="232" w:name="_Toc1856570988"/>
      <w:bookmarkStart w:id="233" w:name="_Toc4605"/>
      <w:bookmarkStart w:id="234" w:name="_Toc30580"/>
      <w:bookmarkStart w:id="235" w:name="_Toc7020"/>
      <w:bookmarkStart w:id="236" w:name="_Toc4669"/>
      <w:r>
        <w:rPr>
          <w:rFonts w:hint="eastAsia" w:ascii="楷体" w:hAnsi="楷体" w:eastAsia="楷体" w:cs="楷体"/>
          <w:b w:val="0"/>
          <w:bCs w:val="0"/>
        </w:rPr>
        <w:t>（五）引导金融配套，强化服务保障</w:t>
      </w:r>
      <w:bookmarkEnd w:id="231"/>
      <w:bookmarkEnd w:id="232"/>
      <w:bookmarkEnd w:id="233"/>
      <w:bookmarkEnd w:id="234"/>
      <w:bookmarkEnd w:id="235"/>
      <w:bookmarkEnd w:id="236"/>
    </w:p>
    <w:p>
      <w:pPr>
        <w:spacing w:line="560" w:lineRule="exact"/>
        <w:ind w:firstLine="632" w:firstLineChars="200"/>
      </w:pPr>
      <w:r>
        <w:rPr>
          <w:rFonts w:hint="eastAsia"/>
        </w:rPr>
        <w:t>落实国家各项税收优惠政策，积极做好税务咨询和服务工作，引导区内企业充分享受国家税收扶持政策。积极拓宽融资渠道，加大各级财政对工业成长的投入，扩大社会融资规模，切实处理工业经济成长中的资金瓶颈问题。整合国家、省、市各项专项资金，集中倾斜支持重点企业和重点项目。积极推进海岛普惠金融创新改革，打造线上+线下金融超市，打破银企信息壁垒，缓解企业融资难、融资贵的问题，促进实体经济发展。</w:t>
      </w:r>
    </w:p>
    <w:p>
      <w:pPr>
        <w:pStyle w:val="6"/>
        <w:spacing w:before="0" w:after="0" w:line="560" w:lineRule="exact"/>
        <w:ind w:firstLine="632" w:firstLineChars="200"/>
        <w:rPr>
          <w:rFonts w:ascii="楷体" w:hAnsi="楷体" w:eastAsia="楷体" w:cs="楷体"/>
          <w:b w:val="0"/>
          <w:bCs w:val="0"/>
        </w:rPr>
      </w:pPr>
      <w:bookmarkStart w:id="237" w:name="_Toc3810"/>
      <w:bookmarkStart w:id="238" w:name="_Toc627694085"/>
      <w:bookmarkStart w:id="239" w:name="_Toc24687"/>
      <w:bookmarkStart w:id="240" w:name="_Toc25171"/>
      <w:bookmarkStart w:id="241" w:name="_Toc7676"/>
      <w:bookmarkStart w:id="242" w:name="_Toc19842"/>
      <w:bookmarkStart w:id="243" w:name="_Toc3123"/>
      <w:r>
        <w:rPr>
          <w:rFonts w:hint="eastAsia" w:ascii="楷体" w:hAnsi="楷体" w:eastAsia="楷体" w:cs="楷体"/>
          <w:b w:val="0"/>
          <w:bCs w:val="0"/>
        </w:rPr>
        <w:t>（六）优化发展环境，助力产业发展</w:t>
      </w:r>
      <w:bookmarkEnd w:id="237"/>
      <w:bookmarkEnd w:id="238"/>
      <w:bookmarkEnd w:id="239"/>
      <w:bookmarkEnd w:id="240"/>
      <w:bookmarkEnd w:id="241"/>
      <w:bookmarkEnd w:id="242"/>
      <w:bookmarkEnd w:id="243"/>
    </w:p>
    <w:p>
      <w:pPr>
        <w:spacing w:line="560" w:lineRule="exact"/>
        <w:ind w:firstLine="632" w:firstLineChars="200"/>
      </w:pPr>
      <w:r>
        <w:rPr>
          <w:rFonts w:hint="eastAsia"/>
          <w:color w:val="000000"/>
        </w:rPr>
        <w:t>加强安全生产工作，督促企业建立健全隐患排查治理常态化机制，推动高危行业（领域）企业建立完善重大危险源监控系统；坚持经济发展与生态环境保护并重，构建具有地方特色的循环经济发展模式，切实保护生态环境。</w:t>
      </w:r>
      <w:r>
        <w:rPr>
          <w:rFonts w:hint="eastAsia"/>
        </w:rPr>
        <w:t>推动传统行业进行技术改造、淘汰落后工艺和设备，促进工业化和信息化深度融合，强化行业安全生产监管，加大舆论宣传力度，营造全社会关心、支持、参与工业和信息化发展的良好氛围。</w:t>
      </w:r>
    </w:p>
    <w:p>
      <w:pPr>
        <w:rPr>
          <w:rFonts w:ascii="黑体" w:hAnsi="黑体" w:eastAsia="黑体" w:cs="黑体"/>
        </w:rPr>
      </w:pPr>
      <w:r>
        <w:rPr>
          <w:rFonts w:hint="eastAsia" w:ascii="黑体" w:hAnsi="黑体" w:eastAsia="黑体" w:cs="黑体"/>
        </w:rPr>
        <w:br w:type="page"/>
      </w:r>
    </w:p>
    <w:p>
      <w:pPr>
        <w:spacing w:line="560" w:lineRule="exact"/>
        <w:outlineLvl w:val="0"/>
        <w:rPr>
          <w:rFonts w:eastAsia="黑体" w:cs="仿宋"/>
        </w:rPr>
      </w:pPr>
      <w:bookmarkStart w:id="244" w:name="_Toc24"/>
      <w:bookmarkStart w:id="245" w:name="_Toc20544"/>
      <w:bookmarkStart w:id="246" w:name="_Toc30715"/>
      <w:r>
        <w:rPr>
          <w:rFonts w:hint="eastAsia" w:ascii="黑体" w:hAnsi="黑体" w:eastAsia="黑体" w:cs="黑体"/>
        </w:rPr>
        <w:t>附件</w:t>
      </w:r>
      <w:r>
        <w:rPr>
          <w:rFonts w:ascii="黑体" w:hAnsi="黑体" w:eastAsia="黑体" w:cs="黑体"/>
        </w:rPr>
        <w:t>1</w:t>
      </w:r>
      <w:r>
        <w:rPr>
          <w:rFonts w:hint="eastAsia" w:ascii="黑体" w:hAnsi="黑体" w:eastAsia="黑体" w:cs="黑体"/>
        </w:rPr>
        <w:t>：</w:t>
      </w:r>
      <w:r>
        <w:rPr>
          <w:rFonts w:hint="eastAsia" w:eastAsia="黑体" w:cs="仿宋"/>
        </w:rPr>
        <w:t>名词注释</w:t>
      </w:r>
      <w:bookmarkEnd w:id="244"/>
      <w:bookmarkEnd w:id="245"/>
      <w:bookmarkEnd w:id="246"/>
    </w:p>
    <w:p>
      <w:pPr>
        <w:pStyle w:val="2"/>
        <w:ind w:firstLine="0"/>
        <w:jc w:val="both"/>
        <w:rPr>
          <w:rFonts w:ascii="仿宋_GB2312" w:hAnsi="仿宋_GB2312" w:eastAsia="仿宋_GB2312" w:cs="仿宋_GB2312"/>
          <w:bCs w:val="0"/>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“四个全面”战略布局：</w:t>
      </w:r>
      <w:r>
        <w:rPr>
          <w:rFonts w:hint="eastAsia" w:ascii="仿宋_GB2312" w:hAnsi="仿宋_GB2312" w:eastAsia="仿宋_GB2312" w:cs="仿宋_GB2312"/>
          <w:bCs w:val="0"/>
          <w:sz w:val="32"/>
          <w:szCs w:val="32"/>
        </w:rPr>
        <w:t>“四个全面”，即全面建设社会主义现代化国家、全面深化改革、全面依法治国、全面从严治党。</w:t>
      </w:r>
    </w:p>
    <w:p>
      <w:pPr>
        <w:pStyle w:val="2"/>
        <w:ind w:firstLine="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“八八战略”：</w:t>
      </w:r>
      <w:r>
        <w:rPr>
          <w:rFonts w:hint="eastAsia" w:ascii="仿宋_GB2312" w:hAnsi="仿宋_GB2312" w:eastAsia="仿宋_GB2312" w:cs="仿宋_GB2312"/>
          <w:bCs w:val="0"/>
          <w:sz w:val="32"/>
          <w:szCs w:val="32"/>
        </w:rPr>
        <w:t>进一步发挥八个方面的优势、推进八个方面的举措。</w:t>
      </w:r>
    </w:p>
    <w:p>
      <w:pPr>
        <w:pStyle w:val="2"/>
        <w:ind w:firstLine="0"/>
        <w:jc w:val="both"/>
        <w:rPr>
          <w:rFonts w:ascii="仿宋_GB2312" w:hAnsi="仿宋_GB2312" w:eastAsia="仿宋_GB2312" w:cs="仿宋_GB2312"/>
          <w:bCs w:val="0"/>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“五化战略”部署要求：</w:t>
      </w:r>
      <w:r>
        <w:rPr>
          <w:rFonts w:hint="eastAsia" w:ascii="仿宋_GB2312" w:hAnsi="仿宋_GB2312" w:eastAsia="仿宋_GB2312" w:cs="仿宋_GB2312"/>
          <w:bCs w:val="0"/>
          <w:sz w:val="32"/>
          <w:szCs w:val="32"/>
        </w:rPr>
        <w:t>生态化、信息化、时尚化、都市化、国际化。</w:t>
      </w:r>
    </w:p>
    <w:p>
      <w:pPr>
        <w:pStyle w:val="2"/>
        <w:ind w:firstLine="0"/>
        <w:jc w:val="both"/>
        <w:rPr>
          <w:rFonts w:ascii="仿宋_GB2312" w:hAnsi="仿宋_GB2312" w:eastAsia="仿宋_GB2312" w:cs="仿宋_GB2312"/>
          <w:bCs w:val="0"/>
          <w:sz w:val="32"/>
          <w:szCs w:val="32"/>
        </w:rPr>
      </w:pPr>
      <w:r>
        <w:rPr>
          <w:rFonts w:hint="eastAsia" w:ascii="仿宋_GB2312" w:hAnsi="仿宋_GB2312" w:eastAsia="仿宋_GB2312" w:cs="仿宋_GB2312"/>
          <w:b/>
          <w:sz w:val="32"/>
          <w:szCs w:val="32"/>
        </w:rPr>
        <w:t>4</w:t>
      </w:r>
      <w:r>
        <w:rPr>
          <w:rFonts w:ascii="仿宋_GB2312" w:hAnsi="仿宋_GB2312" w:eastAsia="仿宋_GB2312" w:cs="仿宋_GB2312"/>
          <w:b/>
          <w:sz w:val="32"/>
          <w:szCs w:val="32"/>
        </w:rPr>
        <w:t>.</w:t>
      </w:r>
      <w:r>
        <w:rPr>
          <w:rFonts w:hint="eastAsia"/>
        </w:rPr>
        <w:t xml:space="preserve"> </w:t>
      </w:r>
      <w:r>
        <w:rPr>
          <w:rFonts w:hint="eastAsia" w:ascii="仿宋_GB2312" w:hAnsi="仿宋_GB2312" w:eastAsia="仿宋_GB2312" w:cs="仿宋_GB2312"/>
          <w:b/>
          <w:sz w:val="32"/>
          <w:szCs w:val="32"/>
        </w:rPr>
        <w:t>碳达峰、碳中和：</w:t>
      </w:r>
      <w:r>
        <w:rPr>
          <w:rFonts w:hint="eastAsia" w:ascii="仿宋_GB2312" w:hAnsi="仿宋_GB2312" w:eastAsia="仿宋_GB2312" w:cs="仿宋_GB2312"/>
          <w:bCs w:val="0"/>
          <w:sz w:val="32"/>
          <w:szCs w:val="32"/>
        </w:rPr>
        <w:t>二氧化碳排放力争于</w:t>
      </w:r>
      <w:r>
        <w:rPr>
          <w:rFonts w:ascii="仿宋_GB2312" w:hAnsi="仿宋_GB2312" w:eastAsia="仿宋_GB2312" w:cs="仿宋_GB2312"/>
          <w:bCs w:val="0"/>
          <w:sz w:val="32"/>
          <w:szCs w:val="32"/>
        </w:rPr>
        <w:t>2030年前达到峰值，努力争取2060年前</w:t>
      </w:r>
      <w:r>
        <w:rPr>
          <w:rFonts w:hint="eastAsia" w:ascii="仿宋_GB2312" w:hAnsi="仿宋_GB2312" w:eastAsia="仿宋_GB2312" w:cs="仿宋_GB2312"/>
          <w:bCs w:val="0"/>
          <w:sz w:val="32"/>
          <w:szCs w:val="32"/>
        </w:rPr>
        <w:t>通过植物造树造林、节能减排等形式，抵消自身产生的二氧化碳排放量，实现二氧化碳“零排放”。</w:t>
      </w:r>
    </w:p>
    <w:p>
      <w:pPr>
        <w:pStyle w:val="2"/>
        <w:ind w:firstLine="0"/>
        <w:jc w:val="both"/>
        <w:rPr>
          <w:rFonts w:ascii="仿宋_GB2312" w:hAnsi="仿宋_GB2312" w:eastAsia="仿宋_GB2312" w:cs="仿宋_GB2312"/>
          <w:bCs w:val="0"/>
          <w:sz w:val="32"/>
          <w:szCs w:val="32"/>
        </w:rPr>
      </w:pPr>
      <w:r>
        <w:rPr>
          <w:rFonts w:hint="eastAsia" w:ascii="仿宋_GB2312" w:hAnsi="仿宋_GB2312" w:eastAsia="仿宋_GB2312" w:cs="仿宋_GB2312"/>
          <w:b/>
          <w:sz w:val="32"/>
          <w:szCs w:val="32"/>
        </w:rPr>
        <w:t>5</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“两个大局”：</w:t>
      </w:r>
      <w:r>
        <w:rPr>
          <w:rFonts w:hint="eastAsia" w:ascii="仿宋_GB2312" w:hAnsi="仿宋_GB2312" w:eastAsia="仿宋_GB2312" w:cs="仿宋_GB2312"/>
          <w:bCs w:val="0"/>
          <w:sz w:val="32"/>
          <w:szCs w:val="32"/>
        </w:rPr>
        <w:t>东部沿海地区加快对外开放，使之较快地先发展起来，中西部地区要顾全这个大局。当发展到一定时期，比如本世纪末全国达到小康水平时，就要拿出更多的力量帮助中西部地区加快发展，东部沿海地区也要服从这个大局。</w:t>
      </w:r>
    </w:p>
    <w:p>
      <w:pPr>
        <w:pStyle w:val="2"/>
        <w:ind w:firstLine="0"/>
        <w:jc w:val="both"/>
        <w:rPr>
          <w:rFonts w:ascii="仿宋_GB2312" w:hAnsi="仿宋_GB2312" w:eastAsia="仿宋_GB2312" w:cs="仿宋_GB2312"/>
          <w:bCs w:val="0"/>
          <w:sz w:val="32"/>
          <w:szCs w:val="32"/>
        </w:rPr>
      </w:pP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浙江“重要窗口”：</w:t>
      </w:r>
      <w:r>
        <w:rPr>
          <w:rFonts w:hint="eastAsia" w:ascii="仿宋_GB2312" w:hAnsi="仿宋_GB2312" w:eastAsia="仿宋_GB2312" w:cs="仿宋_GB2312"/>
          <w:bCs w:val="0"/>
          <w:sz w:val="32"/>
          <w:szCs w:val="32"/>
        </w:rPr>
        <w:t>努力成为新时代全面展示中国特色社会主义制度优越性的重要窗口。</w:t>
      </w:r>
    </w:p>
    <w:p>
      <w:pPr>
        <w:pStyle w:val="2"/>
        <w:ind w:firstLine="0"/>
        <w:jc w:val="both"/>
        <w:rPr>
          <w:rFonts w:ascii="仿宋_GB2312" w:hAnsi="仿宋_GB2312" w:eastAsia="仿宋_GB2312" w:cs="仿宋_GB2312"/>
          <w:bCs w:val="0"/>
          <w:sz w:val="32"/>
          <w:szCs w:val="32"/>
        </w:rPr>
      </w:pP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 xml:space="preserve"> “两化融合”：</w:t>
      </w:r>
      <w:r>
        <w:rPr>
          <w:rFonts w:hint="eastAsia" w:ascii="仿宋_GB2312" w:hAnsi="仿宋_GB2312" w:eastAsia="仿宋_GB2312" w:cs="仿宋_GB2312"/>
          <w:bCs w:val="0"/>
          <w:sz w:val="32"/>
          <w:szCs w:val="32"/>
        </w:rPr>
        <w:t>以信息化带动工业化、以工业化促进信息化，走新型工业化道路。</w:t>
      </w:r>
    </w:p>
    <w:p>
      <w:pPr>
        <w:pStyle w:val="2"/>
        <w:ind w:firstLine="0"/>
        <w:jc w:val="both"/>
        <w:rPr>
          <w:rFonts w:ascii="仿宋_GB2312" w:hAnsi="仿宋_GB2312" w:eastAsia="仿宋_GB2312" w:cs="仿宋_GB2312"/>
          <w:b/>
          <w:sz w:val="32"/>
          <w:szCs w:val="32"/>
        </w:rPr>
      </w:pPr>
      <w:r>
        <w:rPr>
          <w:rFonts w:ascii="仿宋_GB2312" w:hAnsi="仿宋_GB2312" w:eastAsia="仿宋_GB2312" w:cs="仿宋_GB2312"/>
          <w:b/>
          <w:sz w:val="32"/>
          <w:szCs w:val="32"/>
        </w:rPr>
        <w:t>8.</w:t>
      </w:r>
      <w:r>
        <w:rPr>
          <w:rFonts w:hint="eastAsia" w:ascii="仿宋_GB2312" w:hAnsi="仿宋_GB2312" w:eastAsia="仿宋_GB2312" w:cs="仿宋_GB2312"/>
          <w:b/>
          <w:sz w:val="32"/>
          <w:szCs w:val="32"/>
        </w:rPr>
        <w:t xml:space="preserve"> 温州“一区一廊一会一室”：</w:t>
      </w:r>
      <w:r>
        <w:rPr>
          <w:rFonts w:hint="eastAsia" w:ascii="仿宋_GB2312" w:hAnsi="仿宋_GB2312" w:eastAsia="仿宋_GB2312" w:cs="仿宋_GB2312"/>
          <w:bCs w:val="0"/>
          <w:sz w:val="32"/>
          <w:szCs w:val="32"/>
        </w:rPr>
        <w:t>温州国家自主创新示范区、环大罗山科创走廊、世界青年科学家峰会和瓯江实验室。</w:t>
      </w:r>
    </w:p>
    <w:p>
      <w:pPr>
        <w:pStyle w:val="2"/>
        <w:ind w:firstLine="0"/>
        <w:jc w:val="both"/>
        <w:rPr>
          <w:rFonts w:ascii="仿宋_GB2312" w:hAnsi="仿宋_GB2312" w:eastAsia="仿宋_GB2312" w:cs="仿宋_GB2312"/>
          <w:b/>
          <w:sz w:val="32"/>
          <w:szCs w:val="32"/>
        </w:rPr>
      </w:pPr>
    </w:p>
    <w:p>
      <w:pPr>
        <w:pStyle w:val="2"/>
        <w:ind w:firstLine="0"/>
        <w:jc w:val="both"/>
        <w:rPr>
          <w:rFonts w:ascii="仿宋_GB2312" w:hAnsi="仿宋_GB2312" w:eastAsia="仿宋_GB2312" w:cs="仿宋_GB2312"/>
          <w:b/>
          <w:sz w:val="32"/>
          <w:szCs w:val="32"/>
        </w:rPr>
        <w:sectPr>
          <w:footerReference r:id="rId8" w:type="default"/>
          <w:headerReference r:id="rId7" w:type="even"/>
          <w:footerReference r:id="rId9" w:type="even"/>
          <w:pgSz w:w="11906" w:h="16838"/>
          <w:pgMar w:top="2098" w:right="1474" w:bottom="1984" w:left="1587" w:header="851" w:footer="1417" w:gutter="0"/>
          <w:pgNumType w:fmt="numberInDash" w:start="1"/>
          <w:cols w:space="0" w:num="1"/>
          <w:docGrid w:type="linesAndChars" w:linePitch="574" w:charSpace="-842"/>
        </w:sectPr>
      </w:pPr>
    </w:p>
    <w:p>
      <w:pPr>
        <w:spacing w:line="560" w:lineRule="exact"/>
        <w:outlineLvl w:val="0"/>
        <w:rPr>
          <w:rFonts w:ascii="黑体" w:hAnsi="黑体" w:eastAsia="黑体" w:cs="黑体"/>
        </w:rPr>
      </w:pPr>
      <w:bookmarkStart w:id="247" w:name="_Toc8318"/>
      <w:bookmarkStart w:id="248" w:name="_Toc16568"/>
      <w:bookmarkStart w:id="249" w:name="_Toc10901"/>
      <w:r>
        <w:rPr>
          <w:rFonts w:hint="eastAsia" w:ascii="黑体" w:hAnsi="黑体" w:eastAsia="黑体" w:cs="黑体"/>
        </w:rPr>
        <w:t>附件2：洞头区工业、科技和信息化“十四五”重大项目表                   单位：万元</w:t>
      </w:r>
      <w:bookmarkEnd w:id="247"/>
      <w:bookmarkEnd w:id="248"/>
      <w:bookmarkEnd w:id="249"/>
    </w:p>
    <w:p>
      <w:pPr>
        <w:widowControl/>
        <w:spacing w:line="280" w:lineRule="exact"/>
        <w:ind w:left="-319" w:leftChars="-100" w:firstLine="601"/>
        <w:jc w:val="right"/>
      </w:pPr>
      <w:r>
        <w:rPr>
          <w:rFonts w:hint="eastAsia" w:hAnsi="宋体"/>
          <w:sz w:val="20"/>
          <w:szCs w:val="20"/>
        </w:rPr>
        <w:t>备注：具体项目情况待确定</w:t>
      </w:r>
    </w:p>
    <w:tbl>
      <w:tblPr>
        <w:tblStyle w:val="20"/>
        <w:tblpPr w:leftFromText="180" w:rightFromText="180" w:vertAnchor="text" w:horzAnchor="page" w:tblpXSpec="center" w:tblpY="709"/>
        <w:tblOverlap w:val="never"/>
        <w:tblW w:w="14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3387"/>
        <w:gridCol w:w="6668"/>
        <w:gridCol w:w="1282"/>
        <w:gridCol w:w="1172"/>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40" w:type="dxa"/>
            <w:shd w:val="clear" w:color="auto" w:fill="auto"/>
            <w:vAlign w:val="center"/>
          </w:tcPr>
          <w:p>
            <w:pPr>
              <w:widowControl/>
              <w:spacing w:line="300" w:lineRule="exact"/>
              <w:jc w:val="center"/>
              <w:rPr>
                <w:rFonts w:hAnsi="Times New Roman"/>
                <w:b/>
                <w:kern w:val="0"/>
                <w:sz w:val="20"/>
                <w:szCs w:val="20"/>
              </w:rPr>
            </w:pPr>
            <w:bookmarkStart w:id="250" w:name="_Toc21752"/>
            <w:bookmarkStart w:id="251" w:name="_Toc1917313752"/>
            <w:r>
              <w:rPr>
                <w:rFonts w:hint="eastAsia" w:hAnsi="Times New Roman"/>
                <w:b/>
                <w:kern w:val="0"/>
                <w:sz w:val="20"/>
                <w:szCs w:val="20"/>
              </w:rPr>
              <w:t>序号</w:t>
            </w:r>
          </w:p>
        </w:tc>
        <w:tc>
          <w:tcPr>
            <w:tcW w:w="3387" w:type="dxa"/>
            <w:shd w:val="clear" w:color="auto" w:fill="auto"/>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项目名称</w:t>
            </w:r>
          </w:p>
        </w:tc>
        <w:tc>
          <w:tcPr>
            <w:tcW w:w="6668" w:type="dxa"/>
            <w:shd w:val="clear" w:color="auto" w:fill="auto"/>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建设内容和规模</w:t>
            </w:r>
          </w:p>
        </w:tc>
        <w:tc>
          <w:tcPr>
            <w:tcW w:w="1282" w:type="dxa"/>
            <w:shd w:val="clear" w:color="auto" w:fill="auto"/>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建设期限</w:t>
            </w:r>
          </w:p>
        </w:tc>
        <w:tc>
          <w:tcPr>
            <w:tcW w:w="1172" w:type="dxa"/>
            <w:shd w:val="clear" w:color="auto" w:fill="auto"/>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总投资</w:t>
            </w:r>
          </w:p>
        </w:tc>
        <w:tc>
          <w:tcPr>
            <w:tcW w:w="1555" w:type="dxa"/>
            <w:shd w:val="clear" w:color="auto" w:fill="auto"/>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“十四五”投资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Times New Roman"/>
                <w:kern w:val="0"/>
                <w:sz w:val="20"/>
                <w:szCs w:val="20"/>
              </w:rPr>
            </w:pPr>
          </w:p>
        </w:tc>
        <w:tc>
          <w:tcPr>
            <w:tcW w:w="3387"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b/>
                <w:bCs/>
                <w:kern w:val="0"/>
                <w:sz w:val="20"/>
                <w:szCs w:val="20"/>
              </w:rPr>
              <w:t>一、产业发展项目（</w:t>
            </w:r>
            <w:r>
              <w:rPr>
                <w:rFonts w:hint="eastAsia" w:ascii="Times New Roman" w:hAnsi="Times New Roman" w:cs="宋体"/>
                <w:b/>
                <w:bCs/>
                <w:kern w:val="0"/>
                <w:sz w:val="20"/>
                <w:szCs w:val="20"/>
              </w:rPr>
              <w:t>12</w:t>
            </w:r>
            <w:r>
              <w:rPr>
                <w:rFonts w:hint="eastAsia" w:hAnsi="等线" w:cs="宋体"/>
                <w:b/>
                <w:bCs/>
                <w:kern w:val="0"/>
                <w:sz w:val="20"/>
                <w:szCs w:val="20"/>
              </w:rPr>
              <w:t>项）</w:t>
            </w:r>
          </w:p>
        </w:tc>
        <w:tc>
          <w:tcPr>
            <w:tcW w:w="6668" w:type="dxa"/>
            <w:shd w:val="clear" w:color="auto" w:fill="auto"/>
            <w:vAlign w:val="center"/>
          </w:tcPr>
          <w:p>
            <w:pPr>
              <w:widowControl/>
              <w:spacing w:line="300" w:lineRule="exact"/>
              <w:jc w:val="left"/>
              <w:rPr>
                <w:rFonts w:hAnsi="等线" w:cs="宋体"/>
                <w:b/>
                <w:bCs/>
                <w:kern w:val="0"/>
                <w:sz w:val="20"/>
                <w:szCs w:val="20"/>
              </w:rPr>
            </w:pPr>
          </w:p>
        </w:tc>
        <w:tc>
          <w:tcPr>
            <w:tcW w:w="1282" w:type="dxa"/>
            <w:shd w:val="clear" w:color="auto" w:fill="auto"/>
            <w:vAlign w:val="center"/>
          </w:tcPr>
          <w:p>
            <w:pPr>
              <w:widowControl/>
              <w:spacing w:line="300" w:lineRule="exact"/>
              <w:jc w:val="center"/>
              <w:rPr>
                <w:rFonts w:ascii="Times New Roman" w:hAnsi="Times New Roman"/>
                <w:b/>
                <w:bCs/>
                <w:kern w:val="0"/>
                <w:sz w:val="20"/>
                <w:szCs w:val="20"/>
              </w:rPr>
            </w:pPr>
          </w:p>
        </w:tc>
        <w:tc>
          <w:tcPr>
            <w:tcW w:w="1172" w:type="dxa"/>
            <w:shd w:val="clear" w:color="auto" w:fill="auto"/>
            <w:vAlign w:val="center"/>
          </w:tcPr>
          <w:p>
            <w:pPr>
              <w:widowControl/>
              <w:spacing w:line="300" w:lineRule="exact"/>
              <w:jc w:val="center"/>
              <w:rPr>
                <w:rFonts w:ascii="Times New Roman" w:hAnsi="Times New Roman"/>
                <w:b/>
                <w:bCs/>
                <w:kern w:val="0"/>
                <w:sz w:val="20"/>
                <w:szCs w:val="20"/>
              </w:rPr>
            </w:pPr>
            <w:r>
              <w:rPr>
                <w:rFonts w:hint="eastAsia" w:ascii="Times New Roman" w:hAnsi="Times New Roman"/>
                <w:b/>
                <w:bCs/>
                <w:kern w:val="0"/>
                <w:sz w:val="20"/>
                <w:szCs w:val="20"/>
              </w:rPr>
              <w:t>1373000</w:t>
            </w:r>
          </w:p>
        </w:tc>
        <w:tc>
          <w:tcPr>
            <w:tcW w:w="1555" w:type="dxa"/>
            <w:shd w:val="clear" w:color="auto" w:fill="auto"/>
            <w:vAlign w:val="center"/>
          </w:tcPr>
          <w:p>
            <w:pPr>
              <w:widowControl/>
              <w:spacing w:line="300" w:lineRule="exact"/>
              <w:jc w:val="center"/>
              <w:rPr>
                <w:rFonts w:ascii="Times New Roman" w:hAnsi="Times New Roman"/>
                <w:b/>
                <w:bCs/>
                <w:kern w:val="0"/>
                <w:sz w:val="20"/>
                <w:szCs w:val="20"/>
              </w:rPr>
            </w:pPr>
            <w:r>
              <w:rPr>
                <w:rFonts w:hint="eastAsia" w:ascii="Times New Roman" w:hAnsi="Times New Roman"/>
                <w:b/>
                <w:bCs/>
                <w:kern w:val="0"/>
                <w:sz w:val="20"/>
                <w:szCs w:val="20"/>
              </w:rPr>
              <w:t>562800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1</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华顺燃料油项目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项目位于小门岛石化产业基地B-02b4地块，总用地面积约30.244亩，年产20万吨燃料油。</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11700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2</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浙江优瑞欣化学有限公司厂房建设工程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项目位于小门岛石化产业基地B-02b2地块，总用地面积20.41亩，总建筑面积8000平方米，主要建设内容包括生产车间、辅助车间、水处理设施等。</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7000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3</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年产4000吨精密电子装联用助焊剂、1500吨精密电子清洗剂及1500吨电子胶粘剂、三防漆建设项目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项目位于小门岛石化产业基地B-02b3地块，总用地面积约25.44亩，总建筑面积11700平方米，主要建设内容包括车间及辅助用房。</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2020-2021</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10300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4</w:t>
            </w:r>
          </w:p>
        </w:tc>
        <w:tc>
          <w:tcPr>
            <w:tcW w:w="3387" w:type="dxa"/>
            <w:shd w:val="clear" w:color="auto" w:fill="auto"/>
            <w:vAlign w:val="center"/>
          </w:tcPr>
          <w:p>
            <w:pPr>
              <w:widowControl/>
              <w:spacing w:line="300" w:lineRule="exact"/>
              <w:jc w:val="left"/>
              <w:rPr>
                <w:rFonts w:hAnsi="等线" w:cs="宋体"/>
                <w:kern w:val="0"/>
                <w:sz w:val="20"/>
                <w:szCs w:val="20"/>
              </w:rPr>
            </w:pPr>
            <w:r>
              <w:rPr>
                <w:rFonts w:hAnsi="等线" w:cs="宋体"/>
                <w:kern w:val="0"/>
                <w:sz w:val="20"/>
                <w:szCs w:val="20"/>
              </w:rPr>
              <w:t>高性能可降解PGA新材料一体化项目</w:t>
            </w:r>
          </w:p>
        </w:tc>
        <w:tc>
          <w:tcPr>
            <w:tcW w:w="6668" w:type="dxa"/>
            <w:shd w:val="clear" w:color="auto" w:fill="auto"/>
            <w:vAlign w:val="center"/>
          </w:tcPr>
          <w:p>
            <w:pPr>
              <w:widowControl/>
              <w:spacing w:line="300" w:lineRule="exact"/>
              <w:jc w:val="left"/>
              <w:rPr>
                <w:rFonts w:hAnsi="等线" w:cs="宋体"/>
                <w:kern w:val="0"/>
                <w:sz w:val="20"/>
                <w:szCs w:val="20"/>
              </w:rPr>
            </w:pPr>
            <w:r>
              <w:rPr>
                <w:rFonts w:hAnsi="等线" w:cs="宋体"/>
                <w:kern w:val="0"/>
                <w:sz w:val="20"/>
                <w:szCs w:val="20"/>
              </w:rPr>
              <w:t>总用地面积约1000亩，项目分两期建设，一期用地面积约500亩，以燃料油为原料，围绕可降解新材料为核心产品，打造一体化上下游产业链，对燃料油进行深加工，提高产业链附加值，主要产品为高端锂电池隔膜油、碳酸二甲酯以及新型可降解聚乙醇酸等新材料，副产食品级/化妆品级白油12万吨/年、环保型芳烃油73万吨/年、光亮油11万吨/年，是石油化工、医药、制造业等民生工程的基础；二期用地面积约500亩，包括下游改性新材料、可降解塑料、工业润滑、化纤助剂等产业园区建设项目。</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2022-2027</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4</w:t>
            </w:r>
            <w:r>
              <w:rPr>
                <w:rFonts w:hint="eastAsia" w:ascii="Times New Roman" w:hAnsi="Times New Roman"/>
                <w:kern w:val="0"/>
                <w:sz w:val="20"/>
                <w:szCs w:val="20"/>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5</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小门东屿精细化工园</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拟选址东屿整村搬迁地块，占地面积约300亩，招引精细化工企业。</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2022-2030</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待定</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6</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大小门临港石化产业区合规园区建设工程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项目位于小门岛，总用地面积约4900亩，创建合规化工园区。</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4000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7</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海洋生物医药制造项目（年产1000吨超级鱼油EPA及中药项目）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项目选址于城南片A-19a1地块，建有鱼油提取车间、中试车间、中药车间、鱼油库等，项目建成后将形成年产1110吨鱼油、2600吨中药饮片的生产能力。</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2021-2024</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100900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等线"/>
                <w:kern w:val="0"/>
                <w:sz w:val="20"/>
                <w:szCs w:val="20"/>
              </w:rPr>
              <w:t>8</w:t>
            </w:r>
          </w:p>
        </w:tc>
        <w:tc>
          <w:tcPr>
            <w:tcW w:w="3387" w:type="dxa"/>
            <w:shd w:val="clear" w:color="auto" w:fill="auto"/>
            <w:vAlign w:val="center"/>
          </w:tcPr>
          <w:p>
            <w:pPr>
              <w:widowControl/>
              <w:tabs>
                <w:tab w:val="left" w:pos="1127"/>
              </w:tabs>
              <w:spacing w:line="300" w:lineRule="exact"/>
              <w:jc w:val="left"/>
              <w:rPr>
                <w:rFonts w:hAnsi="等线" w:cs="宋体"/>
                <w:kern w:val="0"/>
                <w:sz w:val="20"/>
                <w:szCs w:val="20"/>
              </w:rPr>
            </w:pPr>
            <w:r>
              <w:rPr>
                <w:rFonts w:hint="eastAsia" w:hAnsi="等线" w:cs="宋体"/>
                <w:kern w:val="0"/>
                <w:sz w:val="20"/>
                <w:szCs w:val="20"/>
              </w:rPr>
              <w:t>温州交通城建工业化生产基地</w:t>
            </w:r>
          </w:p>
        </w:tc>
        <w:tc>
          <w:tcPr>
            <w:tcW w:w="6668" w:type="dxa"/>
            <w:shd w:val="clear" w:color="auto" w:fill="auto"/>
            <w:vAlign w:val="center"/>
          </w:tcPr>
          <w:p>
            <w:pPr>
              <w:widowControl/>
              <w:tabs>
                <w:tab w:val="left" w:pos="1127"/>
              </w:tabs>
              <w:spacing w:line="300" w:lineRule="exact"/>
              <w:jc w:val="left"/>
              <w:rPr>
                <w:rFonts w:hAnsi="等线" w:cs="宋体"/>
                <w:kern w:val="0"/>
                <w:sz w:val="20"/>
                <w:szCs w:val="20"/>
              </w:rPr>
            </w:pPr>
            <w:r>
              <w:rPr>
                <w:rFonts w:hint="eastAsia" w:hAnsi="等线" w:cs="宋体"/>
                <w:kern w:val="0"/>
                <w:sz w:val="20"/>
                <w:szCs w:val="20"/>
              </w:rPr>
              <w:t>项目总占地面积约352亩，总建筑面积约8.5万平方米。其中营盘基厂区设置1条大型构件生产线及相关配套设施，设码头一座，含1个2000吨级通用泊位和1000吨级重件泊位；仁前途厂区设置5条PC构件生产线、1条混凝土砌块构件生产线及相关配套设施。总生产能力预计年生产混凝土构件34.4万立方米。</w:t>
            </w:r>
          </w:p>
        </w:tc>
        <w:tc>
          <w:tcPr>
            <w:tcW w:w="1282" w:type="dxa"/>
            <w:shd w:val="clear" w:color="auto" w:fill="auto"/>
            <w:vAlign w:val="center"/>
          </w:tcPr>
          <w:p>
            <w:pPr>
              <w:widowControl/>
              <w:spacing w:line="300" w:lineRule="exact"/>
              <w:rPr>
                <w:rFonts w:ascii="Times New Roman" w:hAnsi="Times New Roman"/>
                <w:kern w:val="0"/>
                <w:sz w:val="20"/>
                <w:szCs w:val="20"/>
              </w:rPr>
            </w:pPr>
            <w:r>
              <w:rPr>
                <w:rFonts w:hint="eastAsia" w:ascii="Times New Roman" w:hAnsi="Times New Roman"/>
                <w:kern w:val="0"/>
                <w:sz w:val="20"/>
                <w:szCs w:val="20"/>
              </w:rPr>
              <w:t>2018-2021</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154900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9</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浙江华田特种材料有限公司厂房扩建项目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总建筑面积87279.54㎡，主要建设一栋钢结构厂房及相关配套设施，年产10000吨换热管。</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2021-2023</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8200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10</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浙江方舟工程机械设备有限公司南塘生产基地</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项目总建设面积18777.92m²，其中生产车间10643m²，热处理车间409.66m²，研发车间3873.84m²，综合楼3801.42m²，门卫50m²，年产能6000万元。</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4500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Times New Roman"/>
                <w:kern w:val="0"/>
                <w:sz w:val="20"/>
                <w:szCs w:val="20"/>
              </w:rPr>
              <w:t>11</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状元岙港区B、E、F区建设工程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状元岙港区B区多用途码头作业区，E、F区为临港产业区。</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2025-2030</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60000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12</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南塘杨文工业园区基础提升工程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对南塘、杨文等工业园区的基础配套项目进行提升，进一步激活工业园区的活力。</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2022-2024</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b/>
                <w:bCs/>
                <w:kern w:val="0"/>
                <w:sz w:val="20"/>
                <w:szCs w:val="20"/>
              </w:rPr>
              <w:t>二、绿色产业项目（7项）</w:t>
            </w:r>
          </w:p>
        </w:tc>
        <w:tc>
          <w:tcPr>
            <w:tcW w:w="6668" w:type="dxa"/>
            <w:shd w:val="clear" w:color="auto" w:fill="auto"/>
            <w:vAlign w:val="center"/>
          </w:tcPr>
          <w:p>
            <w:pPr>
              <w:widowControl/>
              <w:spacing w:line="300" w:lineRule="exact"/>
              <w:jc w:val="left"/>
              <w:rPr>
                <w:rFonts w:hAnsi="等线" w:cs="宋体"/>
                <w:kern w:val="0"/>
                <w:sz w:val="20"/>
                <w:szCs w:val="20"/>
              </w:rPr>
            </w:pPr>
          </w:p>
        </w:tc>
        <w:tc>
          <w:tcPr>
            <w:tcW w:w="1282" w:type="dxa"/>
            <w:shd w:val="clear" w:color="auto" w:fill="auto"/>
            <w:vAlign w:val="center"/>
          </w:tcPr>
          <w:p>
            <w:pPr>
              <w:widowControl/>
              <w:spacing w:line="300" w:lineRule="exact"/>
              <w:rPr>
                <w:rFonts w:ascii="Times New Roman" w:hAnsi="Times New Roman"/>
                <w:kern w:val="0"/>
                <w:sz w:val="20"/>
                <w:szCs w:val="20"/>
              </w:rPr>
            </w:pPr>
          </w:p>
        </w:tc>
        <w:tc>
          <w:tcPr>
            <w:tcW w:w="1172" w:type="dxa"/>
            <w:shd w:val="clear" w:color="auto" w:fill="auto"/>
            <w:vAlign w:val="center"/>
          </w:tcPr>
          <w:p>
            <w:pPr>
              <w:widowControl/>
              <w:jc w:val="center"/>
              <w:rPr>
                <w:rFonts w:ascii="Times New Roman" w:hAnsi="Times New Roman"/>
                <w:kern w:val="0"/>
                <w:sz w:val="20"/>
                <w:szCs w:val="20"/>
              </w:rPr>
            </w:pPr>
            <w:r>
              <w:rPr>
                <w:rFonts w:ascii="Times New Roman" w:hAnsi="Times New Roman"/>
                <w:b/>
                <w:bCs/>
                <w:sz w:val="20"/>
                <w:szCs w:val="20"/>
              </w:rPr>
              <w:t>3631</w:t>
            </w:r>
            <w:r>
              <w:rPr>
                <w:rFonts w:hint="eastAsia" w:ascii="Times New Roman" w:hAnsi="Times New Roman"/>
                <w:b/>
                <w:bCs/>
                <w:sz w:val="20"/>
                <w:szCs w:val="20"/>
              </w:rPr>
              <w:t>700</w:t>
            </w:r>
          </w:p>
        </w:tc>
        <w:tc>
          <w:tcPr>
            <w:tcW w:w="1555" w:type="dxa"/>
            <w:shd w:val="clear" w:color="auto" w:fill="auto"/>
            <w:vAlign w:val="center"/>
          </w:tcPr>
          <w:p>
            <w:pPr>
              <w:jc w:val="center"/>
              <w:rPr>
                <w:rFonts w:ascii="Times New Roman" w:hAnsi="Times New Roman"/>
                <w:kern w:val="0"/>
                <w:sz w:val="20"/>
                <w:szCs w:val="20"/>
              </w:rPr>
            </w:pPr>
            <w:r>
              <w:rPr>
                <w:rFonts w:hint="eastAsia" w:ascii="Times New Roman" w:hAnsi="Times New Roman"/>
                <w:b/>
                <w:bCs/>
                <w:sz w:val="20"/>
                <w:szCs w:val="20"/>
              </w:rPr>
              <w:t>1226100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1</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温州华港液化天然气（LNG）储运调峰中心项目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占地约280亩，1座LNG接卸码头已经建成。一期项目接卸LNG能力100万吨/年，建设2座16万方米LNG储罐及其工艺配套工程，20套LNG槽车装卸系统等。二、三期建设2座16万立方米LNG储罐及其配套工艺设施，1条约40公里的海底天然气管道，三期建成后周转规模达到1000万吨/年。</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2020-2027</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106</w:t>
            </w:r>
            <w:r>
              <w:rPr>
                <w:rFonts w:hint="eastAsia" w:ascii="Times New Roman" w:hAnsi="Times New Roman"/>
                <w:kern w:val="0"/>
                <w:sz w:val="20"/>
                <w:szCs w:val="20"/>
              </w:rPr>
              <w:t>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Times New Roman"/>
                <w:kern w:val="0"/>
                <w:sz w:val="20"/>
                <w:szCs w:val="20"/>
              </w:rPr>
            </w:pPr>
            <w:r>
              <w:rPr>
                <w:rFonts w:hint="eastAsia" w:hAnsi="等线" w:cs="宋体"/>
                <w:kern w:val="0"/>
                <w:sz w:val="20"/>
                <w:szCs w:val="20"/>
              </w:rPr>
              <w:t>2</w:t>
            </w:r>
          </w:p>
        </w:tc>
        <w:tc>
          <w:tcPr>
            <w:tcW w:w="3387"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大门岛LNG储运港口（码头）及后方陆域配套工程</w:t>
            </w:r>
          </w:p>
        </w:tc>
        <w:tc>
          <w:tcPr>
            <w:tcW w:w="6668"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项目总投资约100亿元，位于大门岛促淤堤工程区域，主要建设港口后方陆域罐区建设及配套设施。</w:t>
            </w:r>
          </w:p>
        </w:tc>
        <w:tc>
          <w:tcPr>
            <w:tcW w:w="1282" w:type="dxa"/>
            <w:shd w:val="clear" w:color="auto" w:fill="auto"/>
            <w:vAlign w:val="center"/>
          </w:tcPr>
          <w:p>
            <w:pPr>
              <w:widowControl/>
              <w:spacing w:line="300" w:lineRule="exact"/>
              <w:jc w:val="center"/>
              <w:rPr>
                <w:rFonts w:hAnsi="Times New Roman"/>
                <w:b/>
                <w:bCs/>
                <w:kern w:val="0"/>
                <w:sz w:val="20"/>
                <w:szCs w:val="20"/>
              </w:rPr>
            </w:pPr>
            <w:r>
              <w:rPr>
                <w:rFonts w:hint="eastAsia" w:ascii="Times New Roman" w:hAnsi="Times New Roman"/>
                <w:kern w:val="0"/>
                <w:sz w:val="20"/>
                <w:szCs w:val="20"/>
              </w:rPr>
              <w:t>2021-2025</w:t>
            </w:r>
          </w:p>
        </w:tc>
        <w:tc>
          <w:tcPr>
            <w:tcW w:w="1172" w:type="dxa"/>
            <w:shd w:val="clear" w:color="auto" w:fill="auto"/>
            <w:vAlign w:val="center"/>
          </w:tcPr>
          <w:p>
            <w:pPr>
              <w:widowControl/>
              <w:spacing w:line="300" w:lineRule="exact"/>
              <w:jc w:val="center"/>
              <w:rPr>
                <w:rFonts w:hAnsi="等线"/>
                <w:b/>
                <w:bCs/>
                <w:kern w:val="0"/>
                <w:sz w:val="20"/>
                <w:szCs w:val="20"/>
              </w:rPr>
            </w:pPr>
            <w:r>
              <w:rPr>
                <w:rFonts w:hint="eastAsia" w:ascii="Times New Roman" w:hAnsi="Times New Roman"/>
                <w:kern w:val="0"/>
                <w:sz w:val="20"/>
                <w:szCs w:val="20"/>
              </w:rPr>
              <w:t>1000000</w:t>
            </w:r>
          </w:p>
        </w:tc>
        <w:tc>
          <w:tcPr>
            <w:tcW w:w="1555" w:type="dxa"/>
            <w:shd w:val="clear" w:color="auto" w:fill="auto"/>
            <w:vAlign w:val="center"/>
          </w:tcPr>
          <w:p>
            <w:pPr>
              <w:widowControl/>
              <w:spacing w:line="300" w:lineRule="exact"/>
              <w:jc w:val="center"/>
              <w:rPr>
                <w:rFonts w:hAnsi="等线"/>
                <w:b/>
                <w:bCs/>
                <w:sz w:val="20"/>
                <w:szCs w:val="20"/>
              </w:rPr>
            </w:pPr>
            <w:r>
              <w:rPr>
                <w:rFonts w:hint="eastAsia" w:ascii="Times New Roman" w:hAnsi="Times New Roman"/>
                <w:kern w:val="0"/>
                <w:sz w:val="20"/>
                <w:szCs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3</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清洁能源发电厂</w:t>
            </w:r>
          </w:p>
        </w:tc>
        <w:tc>
          <w:tcPr>
            <w:tcW w:w="6668"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项目选址于大门镇小门岛化工园区A地块，为浙能LNG项目下游产业链项目，总用地面积约250亩，预计年发电量约79亿千瓦。</w:t>
            </w:r>
          </w:p>
        </w:tc>
        <w:tc>
          <w:tcPr>
            <w:tcW w:w="1282" w:type="dxa"/>
            <w:shd w:val="clear" w:color="auto" w:fill="auto"/>
            <w:vAlign w:val="center"/>
          </w:tcPr>
          <w:p>
            <w:pPr>
              <w:widowControl/>
              <w:spacing w:line="300" w:lineRule="exact"/>
              <w:jc w:val="center"/>
              <w:rPr>
                <w:rFonts w:hAnsi="Times New Roman"/>
                <w:b/>
                <w:bCs/>
                <w:kern w:val="0"/>
                <w:sz w:val="20"/>
                <w:szCs w:val="20"/>
              </w:rPr>
            </w:pPr>
            <w:r>
              <w:rPr>
                <w:rFonts w:hint="eastAsia" w:ascii="Times New Roman" w:hAnsi="Times New Roman"/>
                <w:kern w:val="0"/>
                <w:sz w:val="20"/>
                <w:szCs w:val="20"/>
              </w:rPr>
              <w:t>2022-2027</w:t>
            </w:r>
          </w:p>
        </w:tc>
        <w:tc>
          <w:tcPr>
            <w:tcW w:w="1172" w:type="dxa"/>
            <w:shd w:val="clear" w:color="auto" w:fill="auto"/>
            <w:vAlign w:val="center"/>
          </w:tcPr>
          <w:p>
            <w:pPr>
              <w:widowControl/>
              <w:spacing w:line="300" w:lineRule="exact"/>
              <w:jc w:val="center"/>
              <w:rPr>
                <w:rFonts w:ascii="Times New Roman" w:hAnsi="Times New Roman"/>
                <w:b/>
                <w:bCs/>
                <w:sz w:val="20"/>
                <w:szCs w:val="20"/>
              </w:rPr>
            </w:pPr>
            <w:r>
              <w:rPr>
                <w:rFonts w:hint="eastAsia" w:ascii="Times New Roman" w:hAnsi="Times New Roman"/>
                <w:kern w:val="0"/>
                <w:sz w:val="20"/>
                <w:szCs w:val="20"/>
              </w:rPr>
              <w:t>56000</w:t>
            </w:r>
          </w:p>
        </w:tc>
        <w:tc>
          <w:tcPr>
            <w:tcW w:w="1555" w:type="dxa"/>
            <w:shd w:val="clear" w:color="auto" w:fill="auto"/>
            <w:vAlign w:val="center"/>
          </w:tcPr>
          <w:p>
            <w:pPr>
              <w:widowControl/>
              <w:spacing w:line="300" w:lineRule="exact"/>
              <w:jc w:val="center"/>
              <w:rPr>
                <w:rFonts w:ascii="Times New Roman" w:hAnsi="Times New Roman"/>
                <w:b/>
                <w:bCs/>
                <w:sz w:val="20"/>
                <w:szCs w:val="20"/>
              </w:rPr>
            </w:pPr>
            <w:r>
              <w:rPr>
                <w:rFonts w:hint="eastAsia" w:ascii="Times New Roman" w:hAnsi="Times New Roman"/>
                <w:kern w:val="0"/>
                <w:sz w:val="20"/>
                <w:szCs w:val="20"/>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4</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海上风电场</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项目总投资约200亿元，位于洞头岛附近海域，拟建设风机组、变电站及配套设施，总装机容量1280MW。</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2022-2028</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5</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温州市综合材料生态处置中心1万吨/年医废改扩建项目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项目建设用地4243.1㎡，其中道路占地面积850㎡，主要建设1陶30吨/日医废焚烧线，1座综合车间，1座消防泵房及水池，1套除臭系统和生产废水处理设施等。年处理医疗废物1万吨，焚烧总处置规模达3万吨/年。</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9900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6</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温州市综合材料生态处置中心刚性填埋场项目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库容6800立方米（库容暂定，以立项核准批复为准），主要工艺：进入刚性填埋场直接填埋。</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2200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7</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温州液化天然气（LNG）接收站项目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项目选址于小门岛东屿村，一期建设规模300万吨，建设后年供气能力40.5亿立方米；二期建设规模为400-600万吨/年，年供气能力135亿立方。</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2018-2025</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1303600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rPr>
                <w:rFonts w:hAnsi="等线" w:cs="宋体"/>
                <w:kern w:val="0"/>
                <w:sz w:val="20"/>
                <w:szCs w:val="20"/>
              </w:rPr>
            </w:pP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b/>
                <w:bCs/>
                <w:kern w:val="0"/>
                <w:sz w:val="20"/>
                <w:szCs w:val="20"/>
              </w:rPr>
              <w:t>三、信息经济产业项目（7项）</w:t>
            </w:r>
          </w:p>
        </w:tc>
        <w:tc>
          <w:tcPr>
            <w:tcW w:w="6668" w:type="dxa"/>
            <w:shd w:val="clear" w:color="auto" w:fill="auto"/>
            <w:vAlign w:val="center"/>
          </w:tcPr>
          <w:p>
            <w:pPr>
              <w:widowControl/>
              <w:spacing w:line="300" w:lineRule="exact"/>
              <w:jc w:val="left"/>
              <w:rPr>
                <w:rFonts w:hAnsi="等线" w:cs="宋体"/>
                <w:kern w:val="0"/>
                <w:sz w:val="20"/>
                <w:szCs w:val="20"/>
              </w:rPr>
            </w:pPr>
          </w:p>
        </w:tc>
        <w:tc>
          <w:tcPr>
            <w:tcW w:w="1282" w:type="dxa"/>
            <w:shd w:val="clear" w:color="auto" w:fill="auto"/>
            <w:vAlign w:val="center"/>
          </w:tcPr>
          <w:p>
            <w:pPr>
              <w:widowControl/>
              <w:spacing w:line="300" w:lineRule="exact"/>
              <w:jc w:val="center"/>
              <w:rPr>
                <w:rFonts w:ascii="Times New Roman" w:hAnsi="Times New Roman"/>
                <w:kern w:val="0"/>
                <w:sz w:val="20"/>
                <w:szCs w:val="20"/>
              </w:rPr>
            </w:pPr>
          </w:p>
        </w:tc>
        <w:tc>
          <w:tcPr>
            <w:tcW w:w="1172" w:type="dxa"/>
            <w:shd w:val="clear" w:color="auto" w:fill="auto"/>
            <w:vAlign w:val="center"/>
          </w:tcPr>
          <w:p>
            <w:pPr>
              <w:widowControl/>
              <w:jc w:val="center"/>
              <w:rPr>
                <w:rFonts w:ascii="Times New Roman" w:hAnsi="Times New Roman"/>
                <w:kern w:val="0"/>
                <w:sz w:val="20"/>
                <w:szCs w:val="20"/>
              </w:rPr>
            </w:pPr>
            <w:r>
              <w:rPr>
                <w:rFonts w:hint="eastAsia" w:ascii="Times New Roman" w:hAnsi="Times New Roman"/>
                <w:b/>
                <w:bCs/>
                <w:kern w:val="0"/>
                <w:sz w:val="20"/>
                <w:szCs w:val="20"/>
              </w:rPr>
              <w:t>3267000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b/>
                <w:bCs/>
                <w:kern w:val="0"/>
                <w:sz w:val="20"/>
                <w:szCs w:val="20"/>
              </w:rPr>
              <w:t>277000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1</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数字化信息应用项目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加快企业数字化和信息化转型，包括智能物联网建设。</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hAnsi="Times New Roman"/>
                <w:kern w:val="0"/>
                <w:sz w:val="20"/>
                <w:szCs w:val="20"/>
              </w:rPr>
              <w:t>待定</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hAnsi="等线" w:cs="宋体"/>
                <w:kern w:val="0"/>
                <w:sz w:val="20"/>
                <w:szCs w:val="20"/>
              </w:rPr>
              <w:t>待定</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hAnsi="Times New Roman"/>
                <w:kern w:val="0"/>
                <w:sz w:val="20"/>
                <w:szCs w:val="20"/>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40" w:type="dxa"/>
            <w:shd w:val="clear" w:color="auto" w:fill="auto"/>
            <w:vAlign w:val="center"/>
          </w:tcPr>
          <w:p>
            <w:pPr>
              <w:widowControl/>
              <w:spacing w:line="300" w:lineRule="exact"/>
              <w:jc w:val="left"/>
              <w:rPr>
                <w:rFonts w:hAnsi="Times New Roman"/>
                <w:kern w:val="0"/>
                <w:sz w:val="20"/>
                <w:szCs w:val="20"/>
              </w:rPr>
            </w:pPr>
            <w:r>
              <w:rPr>
                <w:rFonts w:hint="eastAsia" w:hAnsi="等线" w:cs="宋体"/>
                <w:kern w:val="0"/>
                <w:sz w:val="20"/>
                <w:szCs w:val="20"/>
              </w:rPr>
              <w:t>2</w:t>
            </w:r>
          </w:p>
        </w:tc>
        <w:tc>
          <w:tcPr>
            <w:tcW w:w="3387"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5G基站建设项目</w:t>
            </w:r>
          </w:p>
        </w:tc>
        <w:tc>
          <w:tcPr>
            <w:tcW w:w="6668"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新建5G铁塔基站及4G改5G基站。</w:t>
            </w:r>
          </w:p>
        </w:tc>
        <w:tc>
          <w:tcPr>
            <w:tcW w:w="1282" w:type="dxa"/>
            <w:shd w:val="clear" w:color="auto" w:fill="auto"/>
            <w:vAlign w:val="center"/>
          </w:tcPr>
          <w:p>
            <w:pPr>
              <w:widowControl/>
              <w:spacing w:line="300" w:lineRule="exact"/>
              <w:jc w:val="center"/>
              <w:rPr>
                <w:rFonts w:hAnsi="Times New Roman"/>
                <w:b/>
                <w:bCs/>
                <w:kern w:val="0"/>
                <w:sz w:val="20"/>
                <w:szCs w:val="20"/>
              </w:rPr>
            </w:pPr>
            <w:r>
              <w:rPr>
                <w:rFonts w:hint="eastAsia" w:ascii="Times New Roman" w:hAnsi="Times New Roman"/>
                <w:kern w:val="0"/>
                <w:sz w:val="20"/>
                <w:szCs w:val="20"/>
              </w:rPr>
              <w:t>2021-2025</w:t>
            </w:r>
          </w:p>
        </w:tc>
        <w:tc>
          <w:tcPr>
            <w:tcW w:w="1172" w:type="dxa"/>
            <w:shd w:val="clear" w:color="auto" w:fill="auto"/>
            <w:vAlign w:val="center"/>
          </w:tcPr>
          <w:p>
            <w:pPr>
              <w:widowControl/>
              <w:spacing w:line="300" w:lineRule="exact"/>
              <w:jc w:val="center"/>
              <w:rPr>
                <w:rFonts w:hAnsi="等线"/>
                <w:b/>
                <w:bCs/>
                <w:kern w:val="0"/>
                <w:sz w:val="20"/>
                <w:szCs w:val="20"/>
              </w:rPr>
            </w:pPr>
            <w:r>
              <w:rPr>
                <w:rFonts w:hint="eastAsia" w:ascii="Times New Roman" w:hAnsi="Times New Roman"/>
                <w:kern w:val="0"/>
                <w:sz w:val="20"/>
                <w:szCs w:val="20"/>
              </w:rPr>
              <w:t>5000</w:t>
            </w:r>
          </w:p>
        </w:tc>
        <w:tc>
          <w:tcPr>
            <w:tcW w:w="1555" w:type="dxa"/>
            <w:shd w:val="clear" w:color="auto" w:fill="auto"/>
            <w:vAlign w:val="center"/>
          </w:tcPr>
          <w:p>
            <w:pPr>
              <w:widowControl/>
              <w:spacing w:line="300" w:lineRule="exact"/>
              <w:jc w:val="center"/>
              <w:rPr>
                <w:rFonts w:ascii="Times New Roman" w:hAnsi="Times New Roman"/>
                <w:b/>
                <w:bCs/>
                <w:kern w:val="0"/>
                <w:sz w:val="20"/>
                <w:szCs w:val="20"/>
              </w:rPr>
            </w:pPr>
            <w:r>
              <w:rPr>
                <w:rFonts w:hint="eastAsia" w:ascii="Times New Roman" w:hAnsi="Times New Roman"/>
                <w:kern w:val="0"/>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3</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5G网络覆盖项目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主要包括洞头全区交通道路、景区配套所需通信管道建设，5G微基站、宽带、监控等业务所需光缆、光交箱等光纤网络建设，确保十四五期间5G网络实现城乡全覆盖。</w:t>
            </w:r>
          </w:p>
        </w:tc>
        <w:tc>
          <w:tcPr>
            <w:tcW w:w="1282" w:type="dxa"/>
            <w:shd w:val="clear" w:color="auto" w:fill="auto"/>
            <w:vAlign w:val="center"/>
          </w:tcPr>
          <w:p>
            <w:pPr>
              <w:widowControl/>
              <w:spacing w:line="300" w:lineRule="exact"/>
              <w:jc w:val="center"/>
              <w:rPr>
                <w:rFonts w:hAnsi="Times New Roman"/>
                <w:kern w:val="0"/>
                <w:sz w:val="20"/>
                <w:szCs w:val="20"/>
              </w:rPr>
            </w:pPr>
            <w:r>
              <w:rPr>
                <w:rFonts w:hint="eastAsia" w:ascii="Times New Roman" w:hAnsi="Times New Roman"/>
                <w:kern w:val="0"/>
                <w:sz w:val="20"/>
                <w:szCs w:val="20"/>
              </w:rPr>
              <w:t>2021-2025</w:t>
            </w:r>
          </w:p>
        </w:tc>
        <w:tc>
          <w:tcPr>
            <w:tcW w:w="1172" w:type="dxa"/>
            <w:shd w:val="clear" w:color="auto" w:fill="auto"/>
            <w:vAlign w:val="center"/>
          </w:tcPr>
          <w:p>
            <w:pPr>
              <w:widowControl/>
              <w:spacing w:line="300" w:lineRule="exact"/>
              <w:jc w:val="center"/>
              <w:rPr>
                <w:rFonts w:hAnsi="等线" w:cs="宋体"/>
                <w:kern w:val="0"/>
                <w:sz w:val="20"/>
                <w:szCs w:val="20"/>
              </w:rPr>
            </w:pPr>
            <w:r>
              <w:rPr>
                <w:rFonts w:hint="eastAsia" w:ascii="Times New Roman" w:hAnsi="Times New Roman"/>
                <w:kern w:val="0"/>
                <w:sz w:val="20"/>
                <w:szCs w:val="20"/>
              </w:rPr>
              <w:t>37000</w:t>
            </w:r>
          </w:p>
        </w:tc>
        <w:tc>
          <w:tcPr>
            <w:tcW w:w="1555" w:type="dxa"/>
            <w:shd w:val="clear" w:color="auto" w:fill="auto"/>
            <w:vAlign w:val="center"/>
          </w:tcPr>
          <w:p>
            <w:pPr>
              <w:widowControl/>
              <w:spacing w:line="300" w:lineRule="exact"/>
              <w:jc w:val="center"/>
              <w:rPr>
                <w:rFonts w:hAnsi="Times New Roman"/>
                <w:kern w:val="0"/>
                <w:sz w:val="20"/>
                <w:szCs w:val="20"/>
              </w:rPr>
            </w:pPr>
            <w:r>
              <w:rPr>
                <w:rFonts w:hint="eastAsia" w:ascii="Times New Roman" w:hAnsi="Times New Roman"/>
                <w:kern w:val="0"/>
                <w:sz w:val="20"/>
                <w:szCs w:val="20"/>
              </w:rPr>
              <w:t>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4</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智慧城市（三期）</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包括时空大脑、数据小脑、视频一张网应用、智慧文旅、智慧交通、智慧环保、智慧社区、智慧城管、智慧医疗、智慧教育、智慧应急等项目。</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2021-2025</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5</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状元岛数字产业城</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项目选址于状元岙南片围垦区域（规划总面积约5100亩），主要进行文化旅游产业、健康医疗产业、高端教育产业以及港城融合生态智慧小镇开发为主。</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2023-2030</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6</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洞头移动光纤网络助力城乡统筹建设项目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主要包括洞头全区交通道路、景区配套所需通信管道建设，基站、宽带、监控等业务所需光缆、光交箱等光纤网络建设。</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2021-2025</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7</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海洋科技产业园</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位于杨文三期A5、A7、A8地块,规划用地面积约130亩，主要建设综合科研办公区、学术交流和科普教育区、科研仪器试验区、水声通信设施区及维修保障区、码头作业区、生活服务区等内容。</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2024-2030</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b/>
                <w:bCs/>
                <w:kern w:val="0"/>
                <w:sz w:val="20"/>
                <w:szCs w:val="20"/>
              </w:rPr>
              <w:t>四、生产性服务业项目（</w:t>
            </w:r>
            <w:r>
              <w:rPr>
                <w:rFonts w:hint="eastAsia" w:ascii="Times New Roman" w:hAnsi="Times New Roman" w:cs="宋体"/>
                <w:b/>
                <w:bCs/>
                <w:kern w:val="0"/>
                <w:sz w:val="20"/>
                <w:szCs w:val="20"/>
              </w:rPr>
              <w:t>6</w:t>
            </w:r>
            <w:r>
              <w:rPr>
                <w:rFonts w:hint="eastAsia" w:hAnsi="等线" w:cs="宋体"/>
                <w:b/>
                <w:bCs/>
                <w:kern w:val="0"/>
                <w:sz w:val="20"/>
                <w:szCs w:val="20"/>
              </w:rPr>
              <w:t>项）</w:t>
            </w:r>
          </w:p>
        </w:tc>
        <w:tc>
          <w:tcPr>
            <w:tcW w:w="6668" w:type="dxa"/>
            <w:shd w:val="clear" w:color="auto" w:fill="auto"/>
            <w:vAlign w:val="center"/>
          </w:tcPr>
          <w:p>
            <w:pPr>
              <w:widowControl/>
              <w:spacing w:line="300" w:lineRule="exact"/>
              <w:jc w:val="left"/>
              <w:rPr>
                <w:rFonts w:hAnsi="等线" w:cs="宋体"/>
                <w:kern w:val="0"/>
                <w:sz w:val="20"/>
                <w:szCs w:val="20"/>
              </w:rPr>
            </w:pPr>
          </w:p>
        </w:tc>
        <w:tc>
          <w:tcPr>
            <w:tcW w:w="1282" w:type="dxa"/>
            <w:shd w:val="clear" w:color="auto" w:fill="auto"/>
            <w:vAlign w:val="center"/>
          </w:tcPr>
          <w:p>
            <w:pPr>
              <w:widowControl/>
              <w:spacing w:line="300" w:lineRule="exact"/>
              <w:rPr>
                <w:rFonts w:ascii="Times New Roman" w:hAnsi="Times New Roman"/>
                <w:kern w:val="0"/>
                <w:sz w:val="20"/>
                <w:szCs w:val="20"/>
              </w:rPr>
            </w:pPr>
          </w:p>
        </w:tc>
        <w:tc>
          <w:tcPr>
            <w:tcW w:w="1172" w:type="dxa"/>
            <w:shd w:val="clear" w:color="auto" w:fill="auto"/>
            <w:vAlign w:val="center"/>
          </w:tcPr>
          <w:p>
            <w:pPr>
              <w:widowControl/>
              <w:jc w:val="center"/>
              <w:rPr>
                <w:rFonts w:ascii="Times New Roman" w:hAnsi="Times New Roman"/>
                <w:kern w:val="0"/>
                <w:sz w:val="20"/>
                <w:szCs w:val="20"/>
              </w:rPr>
            </w:pPr>
            <w:r>
              <w:rPr>
                <w:rFonts w:hint="eastAsia" w:ascii="Times New Roman" w:hAnsi="Times New Roman"/>
                <w:b/>
                <w:bCs/>
                <w:sz w:val="20"/>
                <w:szCs w:val="20"/>
              </w:rPr>
              <w:t>153745</w:t>
            </w:r>
          </w:p>
        </w:tc>
        <w:tc>
          <w:tcPr>
            <w:tcW w:w="1555" w:type="dxa"/>
            <w:shd w:val="clear" w:color="auto" w:fill="auto"/>
            <w:vAlign w:val="center"/>
          </w:tcPr>
          <w:p>
            <w:pPr>
              <w:jc w:val="center"/>
              <w:rPr>
                <w:rFonts w:ascii="Times New Roman" w:hAnsi="Times New Roman"/>
                <w:kern w:val="0"/>
                <w:sz w:val="20"/>
                <w:szCs w:val="20"/>
              </w:rPr>
            </w:pPr>
            <w:r>
              <w:rPr>
                <w:rFonts w:hint="eastAsia" w:ascii="Times New Roman" w:hAnsi="Times New Roman"/>
                <w:b/>
                <w:bCs/>
                <w:sz w:val="20"/>
                <w:szCs w:val="20"/>
              </w:rPr>
              <w:t>106200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等线" w:cs="宋体"/>
                <w:kern w:val="0"/>
                <w:sz w:val="20"/>
                <w:szCs w:val="20"/>
              </w:rPr>
              <w:t>1</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小门岛石化产业园矿地综合利用项目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选址小门石子岙矿区开发地块，招引落地丙烷项目和LNG项目下游产业仓储、物流、港区。</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2020-2027</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 xml:space="preserve">57545 </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Times New Roman"/>
                <w:kern w:val="0"/>
                <w:sz w:val="20"/>
                <w:szCs w:val="20"/>
              </w:rPr>
            </w:pPr>
            <w:r>
              <w:rPr>
                <w:rFonts w:hint="eastAsia" w:hAnsi="等线" w:cs="宋体"/>
                <w:kern w:val="0"/>
                <w:sz w:val="20"/>
                <w:szCs w:val="20"/>
              </w:rPr>
              <w:t>2</w:t>
            </w:r>
          </w:p>
        </w:tc>
        <w:tc>
          <w:tcPr>
            <w:tcW w:w="3387"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大小门石化产业生活商务配套服务区</w:t>
            </w:r>
          </w:p>
        </w:tc>
        <w:tc>
          <w:tcPr>
            <w:tcW w:w="6668"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项目位于长沙村，总用地约46亩，主要建设企业总部大楼、公寓居住、餐饮休闲娱乐、配套服务中心等。</w:t>
            </w:r>
          </w:p>
        </w:tc>
        <w:tc>
          <w:tcPr>
            <w:tcW w:w="1282" w:type="dxa"/>
            <w:shd w:val="clear" w:color="auto" w:fill="auto"/>
            <w:vAlign w:val="center"/>
          </w:tcPr>
          <w:p>
            <w:pPr>
              <w:widowControl/>
              <w:spacing w:line="300" w:lineRule="exact"/>
              <w:jc w:val="center"/>
              <w:rPr>
                <w:rFonts w:hAnsi="Times New Roman"/>
                <w:b/>
                <w:bCs/>
                <w:kern w:val="0"/>
                <w:sz w:val="20"/>
                <w:szCs w:val="20"/>
              </w:rPr>
            </w:pPr>
            <w:r>
              <w:rPr>
                <w:rFonts w:hint="eastAsia" w:ascii="Times New Roman" w:hAnsi="Times New Roman"/>
                <w:kern w:val="0"/>
                <w:sz w:val="20"/>
                <w:szCs w:val="20"/>
              </w:rPr>
              <w:t>2021-2024</w:t>
            </w:r>
          </w:p>
        </w:tc>
        <w:tc>
          <w:tcPr>
            <w:tcW w:w="1172" w:type="dxa"/>
            <w:shd w:val="clear" w:color="auto" w:fill="auto"/>
            <w:vAlign w:val="center"/>
          </w:tcPr>
          <w:p>
            <w:pPr>
              <w:widowControl/>
              <w:spacing w:line="300" w:lineRule="exact"/>
              <w:jc w:val="center"/>
              <w:rPr>
                <w:rFonts w:hAnsi="等线"/>
                <w:b/>
                <w:bCs/>
                <w:kern w:val="0"/>
                <w:sz w:val="20"/>
                <w:szCs w:val="20"/>
              </w:rPr>
            </w:pPr>
            <w:r>
              <w:rPr>
                <w:rFonts w:hint="eastAsia" w:ascii="Times New Roman" w:hAnsi="Times New Roman"/>
                <w:kern w:val="0"/>
                <w:sz w:val="20"/>
                <w:szCs w:val="20"/>
              </w:rPr>
              <w:t>40000</w:t>
            </w:r>
          </w:p>
        </w:tc>
        <w:tc>
          <w:tcPr>
            <w:tcW w:w="1555" w:type="dxa"/>
            <w:shd w:val="clear" w:color="auto" w:fill="auto"/>
            <w:vAlign w:val="center"/>
          </w:tcPr>
          <w:p>
            <w:pPr>
              <w:widowControl/>
              <w:spacing w:line="300" w:lineRule="exact"/>
              <w:jc w:val="center"/>
              <w:rPr>
                <w:rFonts w:hAnsi="等线"/>
                <w:b/>
                <w:bCs/>
                <w:sz w:val="20"/>
                <w:szCs w:val="20"/>
              </w:rPr>
            </w:pPr>
            <w:r>
              <w:rPr>
                <w:rFonts w:hint="eastAsia" w:ascii="Times New Roman" w:hAnsi="Times New Roman"/>
                <w:kern w:val="0"/>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等线" w:cs="宋体"/>
                <w:kern w:val="0"/>
                <w:sz w:val="20"/>
                <w:szCs w:val="20"/>
              </w:rPr>
              <w:t>3</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状元岙港物流园区</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项目规划用地约200亩，在状北区块布置物流生产作业区，在状南04-04b地块（活水潭隧道出口）布置总部经济大楼及生活配套基地主要建设物流企业办公大楼、货物中转仓库、生活配套、后勤保障等相关配套设施。</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2022-2025</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25000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等线" w:cs="宋体"/>
                <w:kern w:val="0"/>
                <w:sz w:val="20"/>
                <w:szCs w:val="20"/>
              </w:rPr>
              <w:t>4</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大门临港产业基地配套服务区</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工程位于浙江省洞头区大门岛南部黄岙海涂面上（黄岙二期），大型产业配套服务园区。</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2024-2030</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待定</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等线" w:cs="宋体"/>
                <w:kern w:val="0"/>
                <w:sz w:val="20"/>
                <w:szCs w:val="20"/>
              </w:rPr>
              <w:t>5</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南塘经济总部园大楼</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项目位于南塘工业区D-02地块，规划用地面积约60亩，可布局数字经济产业相关的研发、设计、管理等领域企业入驻。</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2022-2025</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Times New Roman"/>
                <w:kern w:val="0"/>
                <w:sz w:val="20"/>
                <w:szCs w:val="20"/>
              </w:rPr>
              <w:t>6</w:t>
            </w:r>
          </w:p>
        </w:tc>
        <w:tc>
          <w:tcPr>
            <w:tcW w:w="3387" w:type="dxa"/>
            <w:shd w:val="clear" w:color="auto" w:fill="auto"/>
            <w:vAlign w:val="center"/>
          </w:tcPr>
          <w:p>
            <w:pPr>
              <w:widowControl/>
              <w:tabs>
                <w:tab w:val="left" w:pos="1127"/>
              </w:tabs>
              <w:spacing w:line="300" w:lineRule="exact"/>
              <w:jc w:val="left"/>
              <w:rPr>
                <w:rFonts w:hAnsi="等线" w:cs="宋体"/>
                <w:kern w:val="0"/>
                <w:sz w:val="20"/>
                <w:szCs w:val="20"/>
              </w:rPr>
            </w:pPr>
            <w:r>
              <w:rPr>
                <w:rFonts w:hint="eastAsia" w:hAnsi="等线" w:cs="宋体"/>
                <w:kern w:val="0"/>
                <w:sz w:val="20"/>
                <w:szCs w:val="20"/>
              </w:rPr>
              <w:t>恒博厂区改造提升工程</w:t>
            </w:r>
          </w:p>
        </w:tc>
        <w:tc>
          <w:tcPr>
            <w:tcW w:w="6668" w:type="dxa"/>
            <w:shd w:val="clear" w:color="auto" w:fill="auto"/>
            <w:vAlign w:val="center"/>
          </w:tcPr>
          <w:p>
            <w:pPr>
              <w:widowControl/>
              <w:tabs>
                <w:tab w:val="left" w:pos="1127"/>
              </w:tabs>
              <w:spacing w:line="300" w:lineRule="exact"/>
              <w:jc w:val="left"/>
              <w:rPr>
                <w:rFonts w:hAnsi="等线" w:cs="宋体"/>
                <w:kern w:val="0"/>
                <w:sz w:val="20"/>
                <w:szCs w:val="20"/>
              </w:rPr>
            </w:pPr>
            <w:r>
              <w:rPr>
                <w:rFonts w:hint="eastAsia" w:hAnsi="等线" w:cs="宋体"/>
                <w:kern w:val="0"/>
                <w:sz w:val="20"/>
                <w:szCs w:val="20"/>
              </w:rPr>
              <w:t>对恒博厂区进行改造提升。</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2021-2022</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1200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center"/>
              <w:rPr>
                <w:rFonts w:hAnsi="Times New Roman"/>
                <w:kern w:val="0"/>
                <w:sz w:val="20"/>
                <w:szCs w:val="20"/>
              </w:rPr>
            </w:pPr>
          </w:p>
        </w:tc>
        <w:tc>
          <w:tcPr>
            <w:tcW w:w="3387"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b/>
                <w:bCs/>
                <w:kern w:val="0"/>
                <w:sz w:val="20"/>
                <w:szCs w:val="20"/>
              </w:rPr>
              <w:t>五、基础设施配套项目（</w:t>
            </w:r>
            <w:r>
              <w:rPr>
                <w:rFonts w:hint="eastAsia" w:ascii="Times New Roman" w:hAnsi="Times New Roman" w:cs="宋体"/>
                <w:b/>
                <w:bCs/>
                <w:kern w:val="0"/>
                <w:sz w:val="20"/>
                <w:szCs w:val="20"/>
              </w:rPr>
              <w:t>8</w:t>
            </w:r>
            <w:r>
              <w:rPr>
                <w:rFonts w:hint="eastAsia" w:hAnsi="等线" w:cs="宋体"/>
                <w:b/>
                <w:bCs/>
                <w:kern w:val="0"/>
                <w:sz w:val="20"/>
                <w:szCs w:val="20"/>
              </w:rPr>
              <w:t>项）</w:t>
            </w:r>
          </w:p>
        </w:tc>
        <w:tc>
          <w:tcPr>
            <w:tcW w:w="6668" w:type="dxa"/>
            <w:shd w:val="clear" w:color="auto" w:fill="auto"/>
            <w:vAlign w:val="center"/>
          </w:tcPr>
          <w:p>
            <w:pPr>
              <w:widowControl/>
              <w:spacing w:line="300" w:lineRule="exact"/>
              <w:jc w:val="left"/>
              <w:rPr>
                <w:rFonts w:hAnsi="等线" w:cs="宋体"/>
                <w:b/>
                <w:bCs/>
                <w:kern w:val="0"/>
                <w:sz w:val="20"/>
                <w:szCs w:val="20"/>
              </w:rPr>
            </w:pPr>
          </w:p>
        </w:tc>
        <w:tc>
          <w:tcPr>
            <w:tcW w:w="1282" w:type="dxa"/>
            <w:shd w:val="clear" w:color="auto" w:fill="auto"/>
            <w:vAlign w:val="center"/>
          </w:tcPr>
          <w:p>
            <w:pPr>
              <w:widowControl/>
              <w:spacing w:line="300" w:lineRule="exact"/>
              <w:rPr>
                <w:rFonts w:hAnsi="Times New Roman"/>
                <w:b/>
                <w:bCs/>
                <w:kern w:val="0"/>
                <w:sz w:val="20"/>
                <w:szCs w:val="20"/>
              </w:rPr>
            </w:pPr>
          </w:p>
        </w:tc>
        <w:tc>
          <w:tcPr>
            <w:tcW w:w="1172" w:type="dxa"/>
            <w:shd w:val="clear" w:color="auto" w:fill="auto"/>
            <w:vAlign w:val="center"/>
          </w:tcPr>
          <w:p>
            <w:pPr>
              <w:widowControl/>
              <w:jc w:val="center"/>
              <w:rPr>
                <w:rFonts w:ascii="Times New Roman" w:hAnsi="Times New Roman"/>
                <w:kern w:val="0"/>
                <w:sz w:val="20"/>
                <w:szCs w:val="20"/>
              </w:rPr>
            </w:pPr>
            <w:r>
              <w:rPr>
                <w:rFonts w:hint="eastAsia" w:ascii="Times New Roman" w:hAnsi="Times New Roman"/>
                <w:b/>
                <w:bCs/>
                <w:sz w:val="20"/>
                <w:szCs w:val="20"/>
              </w:rPr>
              <w:t>210600</w:t>
            </w:r>
          </w:p>
        </w:tc>
        <w:tc>
          <w:tcPr>
            <w:tcW w:w="1555" w:type="dxa"/>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b/>
                <w:bCs/>
                <w:sz w:val="20"/>
                <w:szCs w:val="20"/>
              </w:rPr>
              <w:t>207400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40" w:type="dxa"/>
            <w:shd w:val="clear" w:color="auto" w:fill="auto"/>
            <w:vAlign w:val="center"/>
          </w:tcPr>
          <w:p>
            <w:pPr>
              <w:widowControl/>
              <w:spacing w:line="300" w:lineRule="exact"/>
              <w:jc w:val="left"/>
              <w:rPr>
                <w:rFonts w:hAnsi="Times New Roman"/>
                <w:kern w:val="0"/>
                <w:sz w:val="20"/>
                <w:szCs w:val="20"/>
              </w:rPr>
            </w:pPr>
            <w:r>
              <w:rPr>
                <w:rFonts w:hint="eastAsia" w:hAnsi="等线" w:cs="宋体"/>
                <w:kern w:val="0"/>
                <w:sz w:val="20"/>
                <w:szCs w:val="20"/>
              </w:rPr>
              <w:t>1</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小门岛石化产业基地市政配套工程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包括小门西市政工程（市政道路、防洪排涝）、小门污水处理厂等项目。项目主要建设内容共含8条道路、箱涵、给排水等主体工程投资和绿化（行道树）、照明、交通设施、电力管沟等附属工程投资，以及基地防洪排涝工程、地块内的配水站衔接管和一条压力管，同时包括1座污水处理厂、2座污水提升泵站等市政附属工程。</w:t>
            </w:r>
          </w:p>
        </w:tc>
        <w:tc>
          <w:tcPr>
            <w:tcW w:w="1282" w:type="dxa"/>
            <w:shd w:val="clear" w:color="auto" w:fill="auto"/>
            <w:vAlign w:val="center"/>
          </w:tcPr>
          <w:p>
            <w:pPr>
              <w:widowControl/>
              <w:spacing w:line="300" w:lineRule="exact"/>
              <w:jc w:val="center"/>
              <w:rPr>
                <w:rFonts w:hAnsi="Times New Roman"/>
                <w:b/>
                <w:bCs/>
                <w:kern w:val="0"/>
                <w:sz w:val="20"/>
                <w:szCs w:val="20"/>
              </w:rPr>
            </w:pPr>
            <w:r>
              <w:rPr>
                <w:rFonts w:hint="eastAsia" w:ascii="Times New Roman" w:hAnsi="Times New Roman"/>
                <w:kern w:val="0"/>
                <w:sz w:val="20"/>
                <w:szCs w:val="20"/>
              </w:rPr>
              <w:t>2020-2023</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41300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40" w:type="dxa"/>
            <w:shd w:val="clear" w:color="auto" w:fill="auto"/>
            <w:vAlign w:val="center"/>
          </w:tcPr>
          <w:p>
            <w:pPr>
              <w:widowControl/>
              <w:spacing w:line="300" w:lineRule="exact"/>
              <w:jc w:val="left"/>
              <w:rPr>
                <w:rFonts w:hAnsi="Times New Roman"/>
                <w:kern w:val="0"/>
                <w:sz w:val="20"/>
                <w:szCs w:val="20"/>
              </w:rPr>
            </w:pPr>
            <w:r>
              <w:rPr>
                <w:rFonts w:hint="eastAsia" w:hAnsi="等线" w:cs="宋体"/>
                <w:kern w:val="0"/>
                <w:sz w:val="20"/>
                <w:szCs w:val="20"/>
              </w:rPr>
              <w:t>2</w:t>
            </w:r>
          </w:p>
        </w:tc>
        <w:tc>
          <w:tcPr>
            <w:tcW w:w="3387"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小门岛LNG专用道路工程</w:t>
            </w:r>
          </w:p>
        </w:tc>
        <w:tc>
          <w:tcPr>
            <w:tcW w:w="6668" w:type="dxa"/>
            <w:shd w:val="clear" w:color="auto" w:fill="auto"/>
            <w:vAlign w:val="center"/>
          </w:tcPr>
          <w:p>
            <w:pPr>
              <w:widowControl/>
              <w:spacing w:line="300" w:lineRule="exact"/>
              <w:jc w:val="left"/>
              <w:rPr>
                <w:rFonts w:hAnsi="等线" w:cs="宋体"/>
                <w:b/>
                <w:bCs/>
                <w:kern w:val="0"/>
                <w:sz w:val="20"/>
                <w:szCs w:val="20"/>
              </w:rPr>
            </w:pPr>
            <w:r>
              <w:rPr>
                <w:rFonts w:hint="eastAsia" w:hAnsi="等线" w:cs="宋体"/>
                <w:kern w:val="0"/>
                <w:sz w:val="20"/>
                <w:szCs w:val="20"/>
              </w:rPr>
              <w:t>线路全长约2.49km，连接线长328m，隧道一座145m。</w:t>
            </w:r>
          </w:p>
        </w:tc>
        <w:tc>
          <w:tcPr>
            <w:tcW w:w="1282" w:type="dxa"/>
            <w:shd w:val="clear" w:color="auto" w:fill="auto"/>
            <w:vAlign w:val="center"/>
          </w:tcPr>
          <w:p>
            <w:pPr>
              <w:widowControl/>
              <w:spacing w:line="300" w:lineRule="exact"/>
              <w:jc w:val="center"/>
              <w:rPr>
                <w:rFonts w:hAnsi="Times New Roman"/>
                <w:b/>
                <w:bCs/>
                <w:kern w:val="0"/>
                <w:sz w:val="20"/>
                <w:szCs w:val="20"/>
              </w:rPr>
            </w:pPr>
            <w:r>
              <w:rPr>
                <w:rFonts w:hint="eastAsia" w:ascii="Times New Roman" w:hAnsi="Times New Roman"/>
                <w:kern w:val="0"/>
                <w:sz w:val="20"/>
                <w:szCs w:val="20"/>
              </w:rPr>
              <w:t>2021-2023</w:t>
            </w:r>
          </w:p>
        </w:tc>
        <w:tc>
          <w:tcPr>
            <w:tcW w:w="1172" w:type="dxa"/>
            <w:shd w:val="clear" w:color="auto" w:fill="auto"/>
            <w:vAlign w:val="center"/>
          </w:tcPr>
          <w:p>
            <w:pPr>
              <w:widowControl/>
              <w:spacing w:line="300" w:lineRule="exact"/>
              <w:jc w:val="center"/>
              <w:rPr>
                <w:rFonts w:hAnsi="等线"/>
                <w:b/>
                <w:bCs/>
                <w:kern w:val="0"/>
                <w:sz w:val="20"/>
                <w:szCs w:val="20"/>
              </w:rPr>
            </w:pPr>
            <w:r>
              <w:rPr>
                <w:rFonts w:hint="eastAsia" w:ascii="Times New Roman" w:hAnsi="Times New Roman"/>
                <w:kern w:val="0"/>
                <w:sz w:val="20"/>
                <w:szCs w:val="20"/>
              </w:rPr>
              <w:t>23800</w:t>
            </w:r>
          </w:p>
        </w:tc>
        <w:tc>
          <w:tcPr>
            <w:tcW w:w="1555" w:type="dxa"/>
            <w:shd w:val="clear" w:color="auto" w:fill="auto"/>
            <w:vAlign w:val="center"/>
          </w:tcPr>
          <w:p>
            <w:pPr>
              <w:widowControl/>
              <w:spacing w:line="300" w:lineRule="exact"/>
              <w:jc w:val="center"/>
              <w:rPr>
                <w:rFonts w:ascii="宋体" w:hAnsi="宋体" w:eastAsia="宋体" w:cs="宋体"/>
                <w:color w:val="000000"/>
                <w:sz w:val="22"/>
                <w:szCs w:val="22"/>
              </w:rPr>
            </w:pPr>
            <w:r>
              <w:rPr>
                <w:rFonts w:hint="eastAsia" w:ascii="Times New Roman" w:hAnsi="Times New Roman"/>
                <w:kern w:val="0"/>
                <w:sz w:val="20"/>
                <w:szCs w:val="20"/>
              </w:rPr>
              <w:t>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3</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温州LNG保障通道</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主要建设一条连接LNG厂区专用进场道路,通道时速20km/h,全长约623.335m。</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2021-2021</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4600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4</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小门石化园区配套码头</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本工程拟新建5个液体化工码头，包括2个5万吨级泊位，3个1万吨级泊位。</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2022-2024</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57500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Times New Roman"/>
                <w:kern w:val="0"/>
                <w:sz w:val="20"/>
                <w:szCs w:val="20"/>
              </w:rPr>
              <w:t>5</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洞头区冷链物流中心建设项目</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项目位于洞头区霓屿紫菜产业园NY-A-06地块西侧。项目总用地面积38464平方米，主要建设内容包括地上建筑面积6万平方米，其中冷库4.5万平方米，普通仓库1万平方米，配套服务用房0.5万平方米。</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2021-2024</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21900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Times New Roman"/>
                <w:kern w:val="0"/>
                <w:sz w:val="20"/>
                <w:szCs w:val="20"/>
              </w:rPr>
            </w:pPr>
            <w:r>
              <w:rPr>
                <w:rFonts w:hint="eastAsia" w:hAnsi="等线" w:cs="宋体"/>
                <w:kern w:val="0"/>
                <w:sz w:val="20"/>
                <w:szCs w:val="20"/>
              </w:rPr>
              <w:t>6</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小门岛供热工程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保障小门A区、B区、小门石子岙石化产业园、精细化工园等石化下游企业用热需求。</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2022-2025</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7</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温州港核心港区深水进港航道工程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航道总长42.1公里，外航道为5万吨级双线、26.6万m3LNG船单线全潮、10万吨级船舶单线乘潮通航，状元岙港区内航道规模为5万吨级双线、21.5万m3LNG船单线全潮、10万吨级单线乘潮通航，大小门岛港区航道满足26.6万m3LNG船单线、10万吨集装箱船舶单线乘潮通航。</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2020-2023</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25000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shd w:val="clear" w:color="auto" w:fill="auto"/>
            <w:vAlign w:val="center"/>
          </w:tcPr>
          <w:p>
            <w:pPr>
              <w:widowControl/>
              <w:spacing w:line="300" w:lineRule="exact"/>
              <w:jc w:val="center"/>
              <w:rPr>
                <w:rFonts w:hAnsi="等线" w:cs="宋体"/>
                <w:kern w:val="0"/>
                <w:sz w:val="20"/>
                <w:szCs w:val="20"/>
              </w:rPr>
            </w:pPr>
            <w:r>
              <w:rPr>
                <w:rFonts w:hint="eastAsia" w:hAnsi="等线" w:cs="宋体"/>
                <w:kern w:val="0"/>
                <w:sz w:val="20"/>
                <w:szCs w:val="20"/>
              </w:rPr>
              <w:t>8</w:t>
            </w:r>
          </w:p>
        </w:tc>
        <w:tc>
          <w:tcPr>
            <w:tcW w:w="3387"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沙岙至观音礁支线工程</w:t>
            </w:r>
          </w:p>
        </w:tc>
        <w:tc>
          <w:tcPr>
            <w:tcW w:w="6668" w:type="dxa"/>
            <w:shd w:val="clear" w:color="auto" w:fill="auto"/>
            <w:vAlign w:val="center"/>
          </w:tcPr>
          <w:p>
            <w:pPr>
              <w:widowControl/>
              <w:spacing w:line="300" w:lineRule="exact"/>
              <w:jc w:val="left"/>
              <w:rPr>
                <w:rFonts w:hAnsi="等线" w:cs="宋体"/>
                <w:kern w:val="0"/>
                <w:sz w:val="20"/>
                <w:szCs w:val="20"/>
              </w:rPr>
            </w:pPr>
            <w:r>
              <w:rPr>
                <w:rFonts w:hint="eastAsia" w:hAnsi="等线" w:cs="宋体"/>
                <w:kern w:val="0"/>
                <w:sz w:val="20"/>
                <w:szCs w:val="20"/>
              </w:rPr>
              <w:t>项目建设路线全长约1.32km；按二级公路标准设计，路基宽度10m；其中1座桥，长约380米；1座隧道，长约618米。</w:t>
            </w:r>
          </w:p>
        </w:tc>
        <w:tc>
          <w:tcPr>
            <w:tcW w:w="128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2022-2024</w:t>
            </w:r>
          </w:p>
        </w:tc>
        <w:tc>
          <w:tcPr>
            <w:tcW w:w="1172"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6500</w:t>
            </w:r>
          </w:p>
        </w:tc>
        <w:tc>
          <w:tcPr>
            <w:tcW w:w="1555" w:type="dxa"/>
            <w:shd w:val="clear" w:color="auto" w:fill="auto"/>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6500</w:t>
            </w:r>
          </w:p>
        </w:tc>
      </w:tr>
      <w:bookmarkEnd w:id="250"/>
      <w:bookmarkEnd w:id="251"/>
    </w:tbl>
    <w:p>
      <w:pPr>
        <w:rPr>
          <w:rFonts w:eastAsia="黑体" w:cs="仿宋"/>
        </w:rPr>
        <w:sectPr>
          <w:pgSz w:w="16838" w:h="11906" w:orient="landscape"/>
          <w:pgMar w:top="1587" w:right="2098" w:bottom="1474" w:left="1984" w:header="851" w:footer="992" w:gutter="0"/>
          <w:pgNumType w:fmt="numberInDash"/>
          <w:cols w:space="0" w:num="1"/>
          <w:docGrid w:type="linesAndChars" w:linePitch="589" w:charSpace="-226"/>
        </w:sectPr>
      </w:pPr>
    </w:p>
    <w:p>
      <w:pPr>
        <w:spacing w:line="560" w:lineRule="exact"/>
        <w:outlineLvl w:val="0"/>
        <w:rPr>
          <w:rFonts w:hint="eastAsia" w:ascii="黑体" w:hAnsi="黑体" w:eastAsia="黑体" w:cs="黑体"/>
        </w:rPr>
      </w:pPr>
      <w:bookmarkStart w:id="252" w:name="_Toc12021"/>
      <w:bookmarkStart w:id="253" w:name="_Toc28797"/>
      <w:r>
        <w:rPr>
          <w:rFonts w:hint="eastAsia" w:ascii="黑体" w:hAnsi="黑体" w:eastAsia="黑体" w:cs="黑体"/>
        </w:rPr>
        <w:t>附件</w:t>
      </w:r>
      <w:r>
        <w:rPr>
          <w:rFonts w:ascii="黑体" w:hAnsi="黑体" w:eastAsia="黑体" w:cs="黑体"/>
        </w:rPr>
        <w:t>3</w:t>
      </w:r>
      <w:r>
        <w:rPr>
          <w:rFonts w:hint="eastAsia" w:ascii="黑体" w:hAnsi="黑体" w:eastAsia="黑体" w:cs="黑体"/>
        </w:rPr>
        <w:t>：温州瓯江口产业集聚区“十四五”期间投资项目表</w:t>
      </w:r>
      <w:bookmarkEnd w:id="252"/>
      <w:bookmarkEnd w:id="253"/>
    </w:p>
    <w:p>
      <w:pPr>
        <w:spacing w:line="560" w:lineRule="exact"/>
        <w:jc w:val="right"/>
        <w:outlineLvl w:val="0"/>
        <w:rPr>
          <w:rFonts w:ascii="黑体" w:hAnsi="黑体" w:eastAsia="黑体" w:cs="黑体"/>
        </w:rPr>
      </w:pPr>
      <w:r>
        <w:rPr>
          <w:rFonts w:hint="eastAsia" w:ascii="黑体" w:hAnsi="黑体" w:eastAsia="黑体" w:cs="黑体"/>
        </w:rPr>
        <w:t xml:space="preserve">                   </w:t>
      </w:r>
      <w:bookmarkStart w:id="254" w:name="_Toc15739"/>
      <w:bookmarkStart w:id="255" w:name="_Toc1231"/>
      <w:r>
        <w:rPr>
          <w:rFonts w:hint="eastAsia" w:ascii="黑体" w:hAnsi="黑体" w:eastAsia="黑体" w:cs="黑体"/>
        </w:rPr>
        <w:t>单位：万元</w:t>
      </w:r>
      <w:bookmarkEnd w:id="254"/>
      <w:bookmarkEnd w:id="255"/>
    </w:p>
    <w:tbl>
      <w:tblPr>
        <w:tblStyle w:val="20"/>
        <w:tblpPr w:leftFromText="180" w:rightFromText="180" w:vertAnchor="text" w:horzAnchor="page" w:tblpXSpec="center" w:tblpY="709"/>
        <w:tblOverlap w:val="never"/>
        <w:tblW w:w="14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3387"/>
        <w:gridCol w:w="6668"/>
        <w:gridCol w:w="1282"/>
        <w:gridCol w:w="1172"/>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40" w:type="dxa"/>
            <w:vAlign w:val="center"/>
          </w:tcPr>
          <w:p>
            <w:pPr>
              <w:widowControl/>
              <w:spacing w:line="300" w:lineRule="exact"/>
              <w:jc w:val="center"/>
              <w:rPr>
                <w:rFonts w:hAnsi="Times New Roman"/>
                <w:b/>
                <w:kern w:val="0"/>
                <w:sz w:val="20"/>
                <w:szCs w:val="20"/>
              </w:rPr>
            </w:pPr>
            <w:r>
              <w:rPr>
                <w:rFonts w:hint="eastAsia" w:hAnsi="Times New Roman"/>
                <w:b/>
                <w:kern w:val="0"/>
                <w:sz w:val="20"/>
                <w:szCs w:val="20"/>
              </w:rPr>
              <w:t>序号</w:t>
            </w:r>
          </w:p>
        </w:tc>
        <w:tc>
          <w:tcPr>
            <w:tcW w:w="3387" w:type="dxa"/>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项目名称</w:t>
            </w:r>
          </w:p>
        </w:tc>
        <w:tc>
          <w:tcPr>
            <w:tcW w:w="6668" w:type="dxa"/>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建设内容和规模</w:t>
            </w:r>
          </w:p>
        </w:tc>
        <w:tc>
          <w:tcPr>
            <w:tcW w:w="1282" w:type="dxa"/>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建设期限</w:t>
            </w:r>
          </w:p>
        </w:tc>
        <w:tc>
          <w:tcPr>
            <w:tcW w:w="1172" w:type="dxa"/>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总投资</w:t>
            </w:r>
          </w:p>
        </w:tc>
        <w:tc>
          <w:tcPr>
            <w:tcW w:w="1555" w:type="dxa"/>
            <w:vAlign w:val="center"/>
          </w:tcPr>
          <w:p>
            <w:pPr>
              <w:widowControl/>
              <w:spacing w:line="300" w:lineRule="exact"/>
              <w:jc w:val="center"/>
              <w:rPr>
                <w:rFonts w:hAnsi="等线" w:cs="宋体"/>
                <w:b/>
                <w:bCs/>
                <w:kern w:val="0"/>
                <w:sz w:val="20"/>
                <w:szCs w:val="20"/>
              </w:rPr>
            </w:pPr>
            <w:r>
              <w:rPr>
                <w:rFonts w:hint="eastAsia" w:hAnsi="等线" w:cs="宋体"/>
                <w:b/>
                <w:bCs/>
                <w:kern w:val="0"/>
                <w:sz w:val="20"/>
                <w:szCs w:val="20"/>
              </w:rPr>
              <w:t>“十四五”投资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04" w:type="dxa"/>
            <w:gridSpan w:val="6"/>
            <w:vAlign w:val="center"/>
          </w:tcPr>
          <w:p>
            <w:pPr>
              <w:widowControl/>
              <w:spacing w:line="300" w:lineRule="exact"/>
              <w:jc w:val="left"/>
              <w:rPr>
                <w:rFonts w:ascii="Times New Roman" w:hAnsi="Times New Roman"/>
                <w:b/>
                <w:bCs/>
                <w:kern w:val="0"/>
                <w:sz w:val="20"/>
                <w:szCs w:val="20"/>
              </w:rPr>
            </w:pPr>
            <w:r>
              <w:rPr>
                <w:rFonts w:hint="eastAsia" w:hAnsi="等线" w:cs="宋体"/>
                <w:b/>
                <w:bCs/>
                <w:kern w:val="0"/>
                <w:sz w:val="20"/>
                <w:szCs w:val="20"/>
              </w:rPr>
              <w:t>一、工业投资项目（已确定）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left"/>
              <w:rPr>
                <w:rFonts w:hAnsi="等线" w:cs="宋体"/>
                <w:kern w:val="0"/>
                <w:sz w:val="20"/>
                <w:szCs w:val="20"/>
              </w:rPr>
            </w:pPr>
            <w:r>
              <w:rPr>
                <w:rFonts w:hint="eastAsia" w:hAnsi="等线" w:cs="宋体"/>
                <w:kern w:val="0"/>
                <w:sz w:val="20"/>
                <w:szCs w:val="20"/>
              </w:rPr>
              <w:t>1</w:t>
            </w:r>
          </w:p>
        </w:tc>
        <w:tc>
          <w:tcPr>
            <w:tcW w:w="3387" w:type="dxa"/>
            <w:vAlign w:val="center"/>
          </w:tcPr>
          <w:p>
            <w:pPr>
              <w:widowControl/>
              <w:spacing w:line="300" w:lineRule="exact"/>
              <w:jc w:val="left"/>
              <w:rPr>
                <w:rFonts w:hAnsi="等线" w:cs="宋体"/>
                <w:kern w:val="0"/>
                <w:sz w:val="20"/>
                <w:szCs w:val="20"/>
              </w:rPr>
            </w:pPr>
            <w:r>
              <w:rPr>
                <w:rFonts w:hAnsi="等线" w:cs="宋体"/>
                <w:kern w:val="0"/>
                <w:sz w:val="20"/>
                <w:szCs w:val="20"/>
              </w:rPr>
              <w:t>年产6万台(套)特种生化专用阀门设备项目</w:t>
            </w:r>
          </w:p>
        </w:tc>
        <w:tc>
          <w:tcPr>
            <w:tcW w:w="6668" w:type="dxa"/>
            <w:vAlign w:val="center"/>
          </w:tcPr>
          <w:p>
            <w:pPr>
              <w:widowControl/>
              <w:spacing w:line="300" w:lineRule="exact"/>
              <w:jc w:val="left"/>
              <w:rPr>
                <w:rFonts w:hAnsi="等线" w:cs="宋体"/>
                <w:kern w:val="0"/>
                <w:sz w:val="20"/>
                <w:szCs w:val="20"/>
              </w:rPr>
            </w:pPr>
            <w:r>
              <w:rPr>
                <w:rFonts w:hAnsi="等线" w:cs="宋体"/>
                <w:kern w:val="0"/>
                <w:sz w:val="20"/>
                <w:szCs w:val="20"/>
              </w:rPr>
              <w:t>计划建设生产车间、仓库、办公、研发用房、员工宿舍等。</w:t>
            </w:r>
          </w:p>
        </w:tc>
        <w:tc>
          <w:tcPr>
            <w:tcW w:w="1282"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2021-2022</w:t>
            </w:r>
          </w:p>
        </w:tc>
        <w:tc>
          <w:tcPr>
            <w:tcW w:w="1172"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131</w:t>
            </w:r>
            <w:r>
              <w:rPr>
                <w:rFonts w:hint="eastAsia" w:ascii="Times New Roman" w:hAnsi="Times New Roman"/>
                <w:kern w:val="0"/>
                <w:sz w:val="20"/>
                <w:szCs w:val="20"/>
              </w:rPr>
              <w:t>00</w:t>
            </w:r>
          </w:p>
        </w:tc>
        <w:tc>
          <w:tcPr>
            <w:tcW w:w="1555"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131</w:t>
            </w:r>
            <w:r>
              <w:rPr>
                <w:rFonts w:hint="eastAsia" w:ascii="Times New Roman" w:hAnsi="Times New Roman"/>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2</w:t>
            </w:r>
          </w:p>
        </w:tc>
        <w:tc>
          <w:tcPr>
            <w:tcW w:w="3387" w:type="dxa"/>
            <w:vAlign w:val="center"/>
          </w:tcPr>
          <w:p>
            <w:pPr>
              <w:widowControl/>
              <w:spacing w:line="300" w:lineRule="exact"/>
              <w:jc w:val="left"/>
              <w:rPr>
                <w:rFonts w:hAnsi="等线" w:cs="宋体"/>
                <w:kern w:val="0"/>
                <w:sz w:val="20"/>
                <w:szCs w:val="20"/>
              </w:rPr>
            </w:pPr>
            <w:r>
              <w:rPr>
                <w:rFonts w:hAnsi="等线" w:cs="宋体"/>
                <w:kern w:val="0"/>
                <w:sz w:val="20"/>
                <w:szCs w:val="20"/>
              </w:rPr>
              <w:t>年产7万台套全自动真空包装设备暨食品机械项目</w:t>
            </w:r>
          </w:p>
        </w:tc>
        <w:tc>
          <w:tcPr>
            <w:tcW w:w="6668" w:type="dxa"/>
            <w:vAlign w:val="center"/>
          </w:tcPr>
          <w:p>
            <w:pPr>
              <w:widowControl/>
              <w:spacing w:line="300" w:lineRule="exact"/>
              <w:jc w:val="left"/>
              <w:rPr>
                <w:rFonts w:hAnsi="等线" w:cs="宋体"/>
                <w:kern w:val="0"/>
                <w:sz w:val="20"/>
                <w:szCs w:val="20"/>
              </w:rPr>
            </w:pPr>
            <w:r>
              <w:rPr>
                <w:rFonts w:hAnsi="等线" w:cs="宋体"/>
                <w:kern w:val="0"/>
                <w:sz w:val="20"/>
                <w:szCs w:val="20"/>
              </w:rPr>
              <w:t>计划建设生产用房、仓储用房、研发测试用房、展示用房 、行政办公及生活服务设施用房。</w:t>
            </w:r>
          </w:p>
        </w:tc>
        <w:tc>
          <w:tcPr>
            <w:tcW w:w="1282"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2021-2022</w:t>
            </w:r>
          </w:p>
        </w:tc>
        <w:tc>
          <w:tcPr>
            <w:tcW w:w="1172"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15000</w:t>
            </w:r>
          </w:p>
        </w:tc>
        <w:tc>
          <w:tcPr>
            <w:tcW w:w="1555"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3</w:t>
            </w:r>
          </w:p>
        </w:tc>
        <w:tc>
          <w:tcPr>
            <w:tcW w:w="3387" w:type="dxa"/>
            <w:vAlign w:val="center"/>
          </w:tcPr>
          <w:p>
            <w:pPr>
              <w:widowControl/>
              <w:spacing w:line="300" w:lineRule="exact"/>
              <w:jc w:val="left"/>
              <w:rPr>
                <w:rFonts w:hAnsi="等线" w:cs="宋体"/>
                <w:kern w:val="0"/>
                <w:sz w:val="20"/>
                <w:szCs w:val="20"/>
              </w:rPr>
            </w:pPr>
            <w:r>
              <w:rPr>
                <w:rFonts w:hAnsi="等线" w:cs="宋体"/>
                <w:kern w:val="0"/>
                <w:sz w:val="20"/>
                <w:szCs w:val="20"/>
              </w:rPr>
              <w:t>浙江永安工程机械有限公司年产280台工程机械系列产品厂房新建工程项目</w:t>
            </w:r>
          </w:p>
        </w:tc>
        <w:tc>
          <w:tcPr>
            <w:tcW w:w="6668" w:type="dxa"/>
            <w:vAlign w:val="center"/>
          </w:tcPr>
          <w:p>
            <w:pPr>
              <w:widowControl/>
              <w:spacing w:line="300" w:lineRule="exact"/>
              <w:jc w:val="left"/>
              <w:rPr>
                <w:rFonts w:hAnsi="等线" w:cs="宋体"/>
                <w:kern w:val="0"/>
                <w:sz w:val="20"/>
                <w:szCs w:val="20"/>
              </w:rPr>
            </w:pPr>
            <w:r>
              <w:rPr>
                <w:rFonts w:hAnsi="等线" w:cs="宋体"/>
                <w:kern w:val="0"/>
                <w:sz w:val="20"/>
                <w:szCs w:val="20"/>
              </w:rPr>
              <w:t>计划建设生产车间、仓库、综合办公楼、研发大楼等。</w:t>
            </w:r>
          </w:p>
        </w:tc>
        <w:tc>
          <w:tcPr>
            <w:tcW w:w="1282"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2021-2022</w:t>
            </w:r>
          </w:p>
        </w:tc>
        <w:tc>
          <w:tcPr>
            <w:tcW w:w="1172"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51000</w:t>
            </w:r>
          </w:p>
        </w:tc>
        <w:tc>
          <w:tcPr>
            <w:tcW w:w="1555"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51000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left"/>
              <w:rPr>
                <w:rFonts w:hAnsi="等线" w:cs="宋体"/>
                <w:kern w:val="0"/>
                <w:sz w:val="20"/>
                <w:szCs w:val="20"/>
              </w:rPr>
            </w:pPr>
            <w:r>
              <w:rPr>
                <w:rFonts w:hint="eastAsia" w:hAnsi="等线" w:cs="宋体"/>
                <w:kern w:val="0"/>
                <w:sz w:val="20"/>
                <w:szCs w:val="20"/>
              </w:rPr>
              <w:t>4</w:t>
            </w:r>
          </w:p>
        </w:tc>
        <w:tc>
          <w:tcPr>
            <w:tcW w:w="3387" w:type="dxa"/>
            <w:vAlign w:val="center"/>
          </w:tcPr>
          <w:p>
            <w:pPr>
              <w:widowControl/>
              <w:spacing w:line="300" w:lineRule="exact"/>
              <w:jc w:val="left"/>
              <w:rPr>
                <w:rFonts w:hAnsi="等线" w:cs="宋体"/>
                <w:kern w:val="0"/>
                <w:sz w:val="20"/>
                <w:szCs w:val="20"/>
              </w:rPr>
            </w:pPr>
            <w:r>
              <w:rPr>
                <w:rFonts w:hAnsi="等线" w:cs="宋体"/>
                <w:kern w:val="0"/>
                <w:sz w:val="20"/>
                <w:szCs w:val="20"/>
              </w:rPr>
              <w:t>高效旋转精馏机生产项目</w:t>
            </w:r>
          </w:p>
        </w:tc>
        <w:tc>
          <w:tcPr>
            <w:tcW w:w="6668" w:type="dxa"/>
            <w:vAlign w:val="center"/>
          </w:tcPr>
          <w:p>
            <w:pPr>
              <w:widowControl/>
              <w:spacing w:line="300" w:lineRule="exact"/>
              <w:jc w:val="left"/>
              <w:rPr>
                <w:rFonts w:hAnsi="等线" w:cs="宋体"/>
                <w:kern w:val="0"/>
                <w:sz w:val="20"/>
                <w:szCs w:val="20"/>
              </w:rPr>
            </w:pPr>
            <w:r>
              <w:rPr>
                <w:rFonts w:hAnsi="等线" w:cs="宋体"/>
                <w:kern w:val="0"/>
                <w:sz w:val="20"/>
                <w:szCs w:val="20"/>
              </w:rPr>
              <w:t>总建筑面积约78200平方米，将建设生产车间59500平方米，仓储基地6000平方米，研发中心6000平方米</w:t>
            </w:r>
          </w:p>
        </w:tc>
        <w:tc>
          <w:tcPr>
            <w:tcW w:w="1282"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2021-2022</w:t>
            </w:r>
          </w:p>
        </w:tc>
        <w:tc>
          <w:tcPr>
            <w:tcW w:w="1172"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c>
          <w:tcPr>
            <w:tcW w:w="1555"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left"/>
              <w:rPr>
                <w:rFonts w:hAnsi="等线" w:cs="宋体"/>
                <w:kern w:val="0"/>
                <w:sz w:val="20"/>
                <w:szCs w:val="20"/>
              </w:rPr>
            </w:pPr>
            <w:r>
              <w:rPr>
                <w:rFonts w:hint="eastAsia" w:hAnsi="等线" w:cs="宋体"/>
                <w:kern w:val="0"/>
                <w:sz w:val="20"/>
                <w:szCs w:val="20"/>
              </w:rPr>
              <w:t>5</w:t>
            </w:r>
          </w:p>
        </w:tc>
        <w:tc>
          <w:tcPr>
            <w:tcW w:w="3387" w:type="dxa"/>
            <w:vAlign w:val="center"/>
          </w:tcPr>
          <w:p>
            <w:pPr>
              <w:widowControl/>
              <w:spacing w:line="300" w:lineRule="exact"/>
              <w:jc w:val="left"/>
              <w:rPr>
                <w:rFonts w:hAnsi="等线" w:cs="宋体"/>
                <w:kern w:val="0"/>
                <w:sz w:val="20"/>
                <w:szCs w:val="20"/>
              </w:rPr>
            </w:pPr>
            <w:r>
              <w:rPr>
                <w:rFonts w:hAnsi="等线" w:cs="宋体"/>
                <w:kern w:val="0"/>
                <w:sz w:val="20"/>
                <w:szCs w:val="20"/>
              </w:rPr>
              <w:t>年产300万台不锈钢智能阀门制品投资项目</w:t>
            </w:r>
          </w:p>
        </w:tc>
        <w:tc>
          <w:tcPr>
            <w:tcW w:w="6668" w:type="dxa"/>
            <w:vAlign w:val="center"/>
          </w:tcPr>
          <w:p>
            <w:pPr>
              <w:widowControl/>
              <w:spacing w:line="300" w:lineRule="exact"/>
              <w:jc w:val="left"/>
              <w:rPr>
                <w:rFonts w:hAnsi="等线" w:cs="宋体"/>
                <w:kern w:val="0"/>
                <w:sz w:val="20"/>
                <w:szCs w:val="20"/>
              </w:rPr>
            </w:pPr>
            <w:r>
              <w:rPr>
                <w:rFonts w:hAnsi="等线" w:cs="宋体"/>
                <w:kern w:val="0"/>
                <w:sz w:val="20"/>
                <w:szCs w:val="20"/>
              </w:rPr>
              <w:t>建设年产300万台不锈钢智能阀门制品项目</w:t>
            </w:r>
          </w:p>
        </w:tc>
        <w:tc>
          <w:tcPr>
            <w:tcW w:w="1282" w:type="dxa"/>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2021-2022</w:t>
            </w:r>
          </w:p>
        </w:tc>
        <w:tc>
          <w:tcPr>
            <w:tcW w:w="1172"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c>
          <w:tcPr>
            <w:tcW w:w="1555"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left"/>
              <w:rPr>
                <w:rFonts w:hAnsi="等线" w:cs="宋体"/>
                <w:kern w:val="0"/>
                <w:sz w:val="20"/>
                <w:szCs w:val="20"/>
              </w:rPr>
            </w:pPr>
            <w:r>
              <w:rPr>
                <w:rFonts w:hint="eastAsia" w:hAnsi="等线" w:cs="宋体"/>
                <w:kern w:val="0"/>
                <w:sz w:val="20"/>
                <w:szCs w:val="20"/>
              </w:rPr>
              <w:t>6</w:t>
            </w:r>
          </w:p>
        </w:tc>
        <w:tc>
          <w:tcPr>
            <w:tcW w:w="3387" w:type="dxa"/>
            <w:vAlign w:val="center"/>
          </w:tcPr>
          <w:p>
            <w:pPr>
              <w:widowControl/>
              <w:spacing w:line="300" w:lineRule="exact"/>
              <w:jc w:val="left"/>
              <w:rPr>
                <w:rFonts w:hAnsi="等线" w:cs="宋体"/>
                <w:kern w:val="0"/>
                <w:sz w:val="20"/>
                <w:szCs w:val="20"/>
              </w:rPr>
            </w:pPr>
            <w:r>
              <w:rPr>
                <w:rFonts w:hAnsi="等线" w:cs="宋体"/>
                <w:kern w:val="0"/>
                <w:sz w:val="20"/>
                <w:szCs w:val="20"/>
              </w:rPr>
              <w:t>浙江铂莱曼动力科技有限公司年产1200万套汽车传动系列产品新建项目</w:t>
            </w:r>
          </w:p>
        </w:tc>
        <w:tc>
          <w:tcPr>
            <w:tcW w:w="6668" w:type="dxa"/>
            <w:vAlign w:val="center"/>
          </w:tcPr>
          <w:p>
            <w:pPr>
              <w:widowControl/>
              <w:spacing w:line="300" w:lineRule="exact"/>
              <w:jc w:val="left"/>
              <w:rPr>
                <w:rFonts w:hAnsi="等线" w:cs="宋体"/>
                <w:kern w:val="0"/>
                <w:sz w:val="20"/>
                <w:szCs w:val="20"/>
              </w:rPr>
            </w:pPr>
            <w:r>
              <w:rPr>
                <w:rFonts w:hAnsi="等线" w:cs="宋体"/>
                <w:kern w:val="0"/>
                <w:sz w:val="20"/>
                <w:szCs w:val="20"/>
              </w:rPr>
              <w:t>项目用地面积57743.78平方米，总建筑面积115438平方米，其中地上建筑面积114908平方米；建设内容为新建生产车间、综合办公楼、员工宿舍等工程。</w:t>
            </w:r>
          </w:p>
        </w:tc>
        <w:tc>
          <w:tcPr>
            <w:tcW w:w="1282" w:type="dxa"/>
            <w:vAlign w:val="center"/>
          </w:tcPr>
          <w:p>
            <w:pPr>
              <w:widowControl/>
              <w:spacing w:line="300" w:lineRule="exact"/>
              <w:jc w:val="center"/>
              <w:rPr>
                <w:rFonts w:hint="eastAsia" w:ascii="Times New Roman" w:hAnsi="Times New Roman"/>
                <w:kern w:val="0"/>
                <w:sz w:val="20"/>
                <w:szCs w:val="20"/>
              </w:rPr>
            </w:pPr>
            <w:r>
              <w:rPr>
                <w:rFonts w:hint="eastAsia" w:ascii="Times New Roman" w:hAnsi="Times New Roman"/>
                <w:kern w:val="0"/>
                <w:sz w:val="20"/>
                <w:szCs w:val="20"/>
              </w:rPr>
              <w:t>2019-2021</w:t>
            </w:r>
          </w:p>
        </w:tc>
        <w:tc>
          <w:tcPr>
            <w:tcW w:w="1172" w:type="dxa"/>
            <w:vAlign w:val="center"/>
          </w:tcPr>
          <w:p>
            <w:pPr>
              <w:jc w:val="center"/>
              <w:rPr>
                <w:rFonts w:ascii="Times New Roman" w:hAnsi="Times New Roman"/>
                <w:kern w:val="0"/>
                <w:sz w:val="20"/>
                <w:szCs w:val="20"/>
              </w:rPr>
            </w:pPr>
            <w:r>
              <w:rPr>
                <w:rFonts w:ascii="Times New Roman" w:hAnsi="Times New Roman"/>
                <w:color w:val="000000"/>
                <w:kern w:val="0"/>
                <w:sz w:val="24"/>
                <w:szCs w:val="24"/>
              </w:rPr>
              <w:t>33</w:t>
            </w:r>
            <w:r>
              <w:rPr>
                <w:rFonts w:hint="eastAsia" w:ascii="Times New Roman" w:hAnsi="Times New Roman"/>
                <w:color w:val="000000"/>
                <w:kern w:val="0"/>
                <w:sz w:val="24"/>
                <w:szCs w:val="24"/>
              </w:rPr>
              <w:t>000</w:t>
            </w:r>
          </w:p>
        </w:tc>
        <w:tc>
          <w:tcPr>
            <w:tcW w:w="1555" w:type="dxa"/>
            <w:vAlign w:val="center"/>
          </w:tcPr>
          <w:p>
            <w:pPr>
              <w:jc w:val="center"/>
              <w:rPr>
                <w:rFonts w:ascii="Times New Roman" w:hAnsi="Times New Roman"/>
                <w:kern w:val="0"/>
                <w:sz w:val="20"/>
                <w:szCs w:val="20"/>
              </w:rPr>
            </w:pPr>
            <w:r>
              <w:rPr>
                <w:rFonts w:ascii="Times New Roman" w:hAnsi="Times New Roman"/>
                <w:color w:val="000000"/>
                <w:kern w:val="0"/>
                <w:sz w:val="24"/>
                <w:szCs w:val="24"/>
              </w:rPr>
              <w:t>25</w:t>
            </w:r>
            <w:r>
              <w:rPr>
                <w:rFonts w:hint="eastAsia" w:ascii="Times New Roman" w:hAnsi="Times New Roman"/>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Align w:val="center"/>
          </w:tcPr>
          <w:p>
            <w:pPr>
              <w:widowControl/>
              <w:spacing w:line="300" w:lineRule="exact"/>
              <w:jc w:val="center"/>
              <w:rPr>
                <w:rFonts w:hint="eastAsia" w:ascii="Times New Roman" w:hAnsi="Times New Roman"/>
                <w:kern w:val="0"/>
                <w:sz w:val="20"/>
                <w:szCs w:val="20"/>
              </w:rPr>
            </w:pPr>
            <w:r>
              <w:rPr>
                <w:rFonts w:hint="eastAsia" w:ascii="Times New Roman" w:hAnsi="Times New Roman"/>
                <w:kern w:val="0"/>
                <w:sz w:val="20"/>
                <w:szCs w:val="20"/>
              </w:rPr>
              <w:t>7</w:t>
            </w:r>
          </w:p>
        </w:tc>
        <w:tc>
          <w:tcPr>
            <w:tcW w:w="3387" w:type="dxa"/>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顺豪电器生产总部园工程建设项目</w:t>
            </w:r>
          </w:p>
        </w:tc>
        <w:tc>
          <w:tcPr>
            <w:tcW w:w="6668" w:type="dxa"/>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项目用地面积12555.26平方米，总建筑面积为30840.45平方米，其中地上建筑面积29259.36平方米，地下建筑面积为1581.09平方米；建设内容为生产车间、办公大楼等。</w:t>
            </w:r>
          </w:p>
        </w:tc>
        <w:tc>
          <w:tcPr>
            <w:tcW w:w="1282" w:type="dxa"/>
            <w:vAlign w:val="center"/>
          </w:tcPr>
          <w:p>
            <w:pPr>
              <w:widowControl/>
              <w:spacing w:line="300" w:lineRule="exact"/>
              <w:jc w:val="center"/>
              <w:rPr>
                <w:rFonts w:hint="eastAsia" w:ascii="Times New Roman" w:hAnsi="Times New Roman"/>
                <w:kern w:val="0"/>
                <w:sz w:val="20"/>
                <w:szCs w:val="20"/>
              </w:rPr>
            </w:pPr>
            <w:r>
              <w:rPr>
                <w:rFonts w:hint="eastAsia" w:ascii="Times New Roman" w:hAnsi="Times New Roman"/>
                <w:kern w:val="0"/>
                <w:sz w:val="20"/>
                <w:szCs w:val="20"/>
              </w:rPr>
              <w:t>2020-2021</w:t>
            </w:r>
          </w:p>
        </w:tc>
        <w:tc>
          <w:tcPr>
            <w:tcW w:w="1172"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12200</w:t>
            </w:r>
          </w:p>
        </w:tc>
        <w:tc>
          <w:tcPr>
            <w:tcW w:w="1555" w:type="dxa"/>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04" w:type="dxa"/>
            <w:gridSpan w:val="6"/>
            <w:noWrap w:val="0"/>
            <w:vAlign w:val="center"/>
          </w:tcPr>
          <w:p>
            <w:pPr>
              <w:widowControl/>
              <w:spacing w:line="300" w:lineRule="exact"/>
              <w:jc w:val="both"/>
              <w:rPr>
                <w:rFonts w:ascii="Times New Roman" w:hAnsi="Times New Roman"/>
                <w:b/>
                <w:bCs/>
                <w:kern w:val="0"/>
                <w:sz w:val="20"/>
                <w:szCs w:val="20"/>
              </w:rPr>
            </w:pPr>
            <w:r>
              <w:rPr>
                <w:rFonts w:hint="eastAsia" w:hAnsi="等线" w:cs="宋体"/>
                <w:b/>
                <w:bCs/>
                <w:kern w:val="0"/>
                <w:sz w:val="20"/>
                <w:szCs w:val="20"/>
                <w:lang w:val="en-US" w:eastAsia="zh-CN"/>
              </w:rPr>
              <w:t>二</w:t>
            </w:r>
            <w:r>
              <w:rPr>
                <w:rFonts w:hint="eastAsia" w:hAnsi="等线" w:cs="宋体"/>
                <w:b/>
                <w:bCs/>
                <w:kern w:val="0"/>
                <w:sz w:val="20"/>
                <w:szCs w:val="20"/>
              </w:rPr>
              <w:t>、技改投资项目（已确定）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noWrap w:val="0"/>
            <w:vAlign w:val="center"/>
          </w:tcPr>
          <w:p>
            <w:pPr>
              <w:widowControl/>
              <w:spacing w:line="300" w:lineRule="exact"/>
              <w:jc w:val="left"/>
              <w:rPr>
                <w:rFonts w:hAnsi="等线" w:cs="宋体"/>
                <w:kern w:val="0"/>
                <w:sz w:val="20"/>
                <w:szCs w:val="20"/>
              </w:rPr>
            </w:pPr>
            <w:r>
              <w:rPr>
                <w:rFonts w:hint="eastAsia" w:hAnsi="等线" w:cs="宋体"/>
                <w:kern w:val="0"/>
                <w:sz w:val="20"/>
                <w:szCs w:val="20"/>
              </w:rPr>
              <w:t>1</w:t>
            </w:r>
          </w:p>
        </w:tc>
        <w:tc>
          <w:tcPr>
            <w:tcW w:w="3387"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欧电阀门（迁建）年产20万套新型多功能医药专用抗菌素装备项目</w:t>
            </w:r>
          </w:p>
        </w:tc>
        <w:tc>
          <w:tcPr>
            <w:tcW w:w="6668"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项目用地面积37.8603亩，总建筑面积49038.2平方米，地上建筑面积45892.2平方米，1#办公楼7480.26平方米、2#生产车间9577.02平方米、3#车间28834.92平方米、地下室3146平方米，建成后年产20万套新型多功能医药专用抗菌素装备。</w:t>
            </w:r>
          </w:p>
        </w:tc>
        <w:tc>
          <w:tcPr>
            <w:tcW w:w="1282" w:type="dxa"/>
            <w:noWrap w:val="0"/>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2019-2021</w:t>
            </w:r>
          </w:p>
        </w:tc>
        <w:tc>
          <w:tcPr>
            <w:tcW w:w="1172"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ascii="Times New Roman" w:hAnsi="Times New Roman"/>
                <w:kern w:val="0"/>
                <w:sz w:val="20"/>
                <w:szCs w:val="20"/>
              </w:rPr>
              <w:t>13</w:t>
            </w:r>
            <w:r>
              <w:rPr>
                <w:rFonts w:hint="eastAsia" w:ascii="Times New Roman" w:hAnsi="Times New Roman"/>
                <w:kern w:val="0"/>
                <w:sz w:val="20"/>
                <w:szCs w:val="20"/>
                <w:lang w:val="en-US" w:eastAsia="zh-CN"/>
              </w:rPr>
              <w:t>000</w:t>
            </w:r>
          </w:p>
        </w:tc>
        <w:tc>
          <w:tcPr>
            <w:tcW w:w="1555" w:type="dxa"/>
            <w:noWrap w:val="0"/>
            <w:vAlign w:val="center"/>
          </w:tcPr>
          <w:p>
            <w:pPr>
              <w:widowControl/>
              <w:spacing w:line="300" w:lineRule="exact"/>
              <w:jc w:val="center"/>
              <w:rPr>
                <w:rFonts w:hint="default" w:ascii="Times New Roman" w:hAnsi="Times New Roman" w:eastAsia="仿宋_GB2312"/>
                <w:kern w:val="0"/>
                <w:sz w:val="20"/>
                <w:szCs w:val="20"/>
                <w:lang w:val="en-US" w:eastAsia="zh-CN"/>
              </w:rPr>
            </w:pPr>
            <w:r>
              <w:rPr>
                <w:rFonts w:hint="eastAsia" w:ascii="Times New Roman" w:hAnsi="Times New Roman"/>
                <w:kern w:val="0"/>
                <w:sz w:val="20"/>
                <w:szCs w:val="20"/>
                <w:lang w:val="en-US" w:eastAsia="zh-CN"/>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40" w:type="dxa"/>
            <w:noWrap w:val="0"/>
            <w:vAlign w:val="center"/>
          </w:tcPr>
          <w:p>
            <w:pPr>
              <w:widowControl/>
              <w:spacing w:line="300" w:lineRule="exact"/>
              <w:jc w:val="left"/>
              <w:rPr>
                <w:rFonts w:hint="eastAsia" w:hAnsi="等线" w:eastAsia="仿宋_GB2312" w:cs="宋体"/>
                <w:kern w:val="0"/>
                <w:sz w:val="20"/>
                <w:szCs w:val="20"/>
                <w:lang w:eastAsia="zh-CN"/>
              </w:rPr>
            </w:pPr>
            <w:r>
              <w:rPr>
                <w:rFonts w:hint="eastAsia" w:hAnsi="等线" w:cs="宋体"/>
                <w:kern w:val="0"/>
                <w:sz w:val="20"/>
                <w:szCs w:val="20"/>
                <w:lang w:val="en-US" w:eastAsia="zh-CN"/>
              </w:rPr>
              <w:t>2</w:t>
            </w:r>
          </w:p>
        </w:tc>
        <w:tc>
          <w:tcPr>
            <w:tcW w:w="3387"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浙江健牌机械科技有限公司（迁建）年产700台套医药固体制剂专用设备项目</w:t>
            </w:r>
          </w:p>
        </w:tc>
        <w:tc>
          <w:tcPr>
            <w:tcW w:w="6668"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项目用地面积19526平方米，总建筑面积约27430平方米，地上建筑面积25750平方米。建设内容为建造生产厂房，办公楼，宿舍楼等工程。</w:t>
            </w:r>
          </w:p>
        </w:tc>
        <w:tc>
          <w:tcPr>
            <w:tcW w:w="1282" w:type="dxa"/>
            <w:noWrap w:val="0"/>
            <w:vAlign w:val="center"/>
          </w:tcPr>
          <w:p>
            <w:pPr>
              <w:widowControl/>
              <w:spacing w:line="300" w:lineRule="exact"/>
              <w:jc w:val="center"/>
              <w:rPr>
                <w:rFonts w:hint="eastAsia" w:ascii="Times New Roman" w:hAnsi="Times New Roman" w:eastAsia="仿宋_GB2312"/>
                <w:kern w:val="0"/>
                <w:sz w:val="20"/>
                <w:szCs w:val="20"/>
                <w:lang w:eastAsia="zh-CN"/>
              </w:rPr>
            </w:pPr>
            <w:r>
              <w:rPr>
                <w:rFonts w:ascii="Times New Roman" w:hAnsi="Times New Roman"/>
                <w:kern w:val="0"/>
                <w:sz w:val="20"/>
                <w:szCs w:val="20"/>
              </w:rPr>
              <w:t>202</w:t>
            </w:r>
            <w:r>
              <w:rPr>
                <w:rFonts w:hint="eastAsia" w:ascii="Times New Roman" w:hAnsi="Times New Roman"/>
                <w:kern w:val="0"/>
                <w:sz w:val="20"/>
                <w:szCs w:val="20"/>
                <w:lang w:val="en-US" w:eastAsia="zh-CN"/>
              </w:rPr>
              <w:t>0</w:t>
            </w:r>
            <w:r>
              <w:rPr>
                <w:rFonts w:ascii="Times New Roman" w:hAnsi="Times New Roman"/>
                <w:kern w:val="0"/>
                <w:sz w:val="20"/>
                <w:szCs w:val="20"/>
              </w:rPr>
              <w:t>-202</w:t>
            </w:r>
            <w:r>
              <w:rPr>
                <w:rFonts w:hint="eastAsia" w:ascii="Times New Roman" w:hAnsi="Times New Roman"/>
                <w:kern w:val="0"/>
                <w:sz w:val="20"/>
                <w:szCs w:val="20"/>
                <w:lang w:val="en-US" w:eastAsia="zh-CN"/>
              </w:rPr>
              <w:t>1</w:t>
            </w:r>
          </w:p>
        </w:tc>
        <w:tc>
          <w:tcPr>
            <w:tcW w:w="1172" w:type="dxa"/>
            <w:noWrap w:val="0"/>
            <w:vAlign w:val="center"/>
          </w:tcPr>
          <w:p>
            <w:pPr>
              <w:widowControl/>
              <w:spacing w:line="300" w:lineRule="exact"/>
              <w:jc w:val="center"/>
              <w:rPr>
                <w:rFonts w:ascii="Times New Roman" w:hAnsi="Times New Roman"/>
                <w:kern w:val="0"/>
                <w:sz w:val="20"/>
                <w:szCs w:val="20"/>
              </w:rPr>
            </w:pPr>
            <w:r>
              <w:rPr>
                <w:rFonts w:hint="eastAsia" w:ascii="Times New Roman" w:hAnsi="Times New Roman"/>
                <w:kern w:val="0"/>
                <w:sz w:val="20"/>
                <w:szCs w:val="20"/>
                <w:lang w:val="en-US" w:eastAsia="zh-CN"/>
              </w:rPr>
              <w:t>10600</w:t>
            </w:r>
          </w:p>
        </w:tc>
        <w:tc>
          <w:tcPr>
            <w:tcW w:w="1555" w:type="dxa"/>
            <w:noWrap w:val="0"/>
            <w:vAlign w:val="center"/>
          </w:tcPr>
          <w:p>
            <w:pPr>
              <w:widowControl/>
              <w:spacing w:line="300" w:lineRule="exact"/>
              <w:jc w:val="center"/>
              <w:rPr>
                <w:rFonts w:hint="default" w:ascii="Times New Roman" w:hAnsi="Times New Roman"/>
                <w:kern w:val="0"/>
                <w:sz w:val="20"/>
                <w:szCs w:val="20"/>
                <w:lang w:val="en-US"/>
              </w:rPr>
            </w:pPr>
            <w:r>
              <w:rPr>
                <w:rFonts w:hint="eastAsia" w:ascii="Times New Roman" w:hAnsi="Times New Roman"/>
                <w:kern w:val="0"/>
                <w:sz w:val="20"/>
                <w:szCs w:val="20"/>
                <w:lang w:val="en-US" w:eastAsia="zh-CN"/>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04" w:type="dxa"/>
            <w:gridSpan w:val="6"/>
            <w:noWrap w:val="0"/>
            <w:vAlign w:val="center"/>
          </w:tcPr>
          <w:p>
            <w:pPr>
              <w:widowControl/>
              <w:spacing w:line="300" w:lineRule="exact"/>
              <w:jc w:val="both"/>
              <w:rPr>
                <w:rFonts w:ascii="Times New Roman" w:hAnsi="Times New Roman"/>
                <w:b/>
                <w:bCs/>
                <w:kern w:val="0"/>
                <w:sz w:val="20"/>
                <w:szCs w:val="20"/>
              </w:rPr>
            </w:pPr>
            <w:r>
              <w:rPr>
                <w:rFonts w:hint="eastAsia" w:hAnsi="等线" w:cs="宋体"/>
                <w:b/>
                <w:bCs/>
                <w:kern w:val="0"/>
                <w:sz w:val="20"/>
                <w:szCs w:val="20"/>
                <w:lang w:val="en-US" w:eastAsia="zh-CN"/>
              </w:rPr>
              <w:t>三</w:t>
            </w:r>
            <w:r>
              <w:rPr>
                <w:rFonts w:hint="eastAsia" w:hAnsi="等线" w:cs="宋体"/>
                <w:b/>
                <w:bCs/>
                <w:kern w:val="0"/>
                <w:sz w:val="20"/>
                <w:szCs w:val="20"/>
              </w:rPr>
              <w:t>、配套产业园项目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noWrap w:val="0"/>
            <w:vAlign w:val="center"/>
          </w:tcPr>
          <w:p>
            <w:pPr>
              <w:widowControl/>
              <w:spacing w:line="300" w:lineRule="exact"/>
              <w:jc w:val="left"/>
              <w:rPr>
                <w:rFonts w:hAnsi="等线" w:cs="宋体"/>
                <w:kern w:val="0"/>
                <w:sz w:val="20"/>
                <w:szCs w:val="20"/>
              </w:rPr>
            </w:pPr>
            <w:r>
              <w:rPr>
                <w:rFonts w:hint="eastAsia" w:hAnsi="等线" w:cs="宋体"/>
                <w:kern w:val="0"/>
                <w:sz w:val="20"/>
                <w:szCs w:val="20"/>
              </w:rPr>
              <w:t>1</w:t>
            </w:r>
          </w:p>
        </w:tc>
        <w:tc>
          <w:tcPr>
            <w:tcW w:w="3387"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中国温州安全（应急）产业园</w:t>
            </w:r>
          </w:p>
        </w:tc>
        <w:tc>
          <w:tcPr>
            <w:tcW w:w="6668"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建设规模为建设用地面积 122857平方米，总建筑面积 376573平方米，其中地上建筑面积360023平方米；建设内容为新建厂房、配套宿舍用房等工程。</w:t>
            </w:r>
          </w:p>
        </w:tc>
        <w:tc>
          <w:tcPr>
            <w:tcW w:w="1282" w:type="dxa"/>
            <w:noWrap w:val="0"/>
            <w:vAlign w:val="center"/>
          </w:tcPr>
          <w:p>
            <w:pPr>
              <w:widowControl/>
              <w:spacing w:line="300" w:lineRule="exact"/>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2020-2023</w:t>
            </w:r>
          </w:p>
        </w:tc>
        <w:tc>
          <w:tcPr>
            <w:tcW w:w="1172"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251900</w:t>
            </w:r>
          </w:p>
        </w:tc>
        <w:tc>
          <w:tcPr>
            <w:tcW w:w="1555"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noWrap w:val="0"/>
            <w:vAlign w:val="center"/>
          </w:tcPr>
          <w:p>
            <w:pPr>
              <w:widowControl/>
              <w:spacing w:line="300" w:lineRule="exact"/>
              <w:jc w:val="left"/>
              <w:rPr>
                <w:rFonts w:hint="eastAsia" w:hAnsi="等线" w:eastAsia="仿宋_GB2312" w:cs="宋体"/>
                <w:kern w:val="0"/>
                <w:sz w:val="20"/>
                <w:szCs w:val="20"/>
                <w:lang w:eastAsia="zh-CN"/>
              </w:rPr>
            </w:pPr>
            <w:r>
              <w:rPr>
                <w:rFonts w:hint="eastAsia" w:hAnsi="等线" w:cs="宋体"/>
                <w:kern w:val="0"/>
                <w:sz w:val="20"/>
                <w:szCs w:val="20"/>
                <w:lang w:val="en-US" w:eastAsia="zh-CN"/>
              </w:rPr>
              <w:t>2</w:t>
            </w:r>
          </w:p>
        </w:tc>
        <w:tc>
          <w:tcPr>
            <w:tcW w:w="3387"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欣乐加生物科技产业园（一期）</w:t>
            </w:r>
          </w:p>
        </w:tc>
        <w:tc>
          <w:tcPr>
            <w:tcW w:w="6668" w:type="dxa"/>
            <w:noWrap w:val="0"/>
            <w:vAlign w:val="top"/>
          </w:tcPr>
          <w:p>
            <w:pPr>
              <w:widowControl/>
              <w:spacing w:line="300" w:lineRule="exact"/>
              <w:jc w:val="left"/>
              <w:rPr>
                <w:rFonts w:hint="eastAsia" w:hAnsi="等线" w:cs="宋体"/>
                <w:kern w:val="0"/>
                <w:sz w:val="20"/>
                <w:szCs w:val="20"/>
              </w:rPr>
            </w:pPr>
            <w:r>
              <w:rPr>
                <w:rFonts w:hint="eastAsia" w:hAnsi="等线" w:cs="宋体"/>
                <w:kern w:val="0"/>
                <w:sz w:val="20"/>
                <w:szCs w:val="20"/>
              </w:rPr>
              <w:t>总建筑面积约 11.1 万平米，主要建设军用、民用止血材料（体表止血材料、动脉穿刺止血材料、口鼻腔止血材料）生产车间、欣乐加急救止血（烧伤）材料研究中心、研发车间大楼、办公、仓储物流、员工宿舍等。</w:t>
            </w:r>
          </w:p>
        </w:tc>
        <w:tc>
          <w:tcPr>
            <w:tcW w:w="1282" w:type="dxa"/>
            <w:noWrap w:val="0"/>
            <w:vAlign w:val="center"/>
          </w:tcPr>
          <w:p>
            <w:pPr>
              <w:widowControl/>
              <w:spacing w:line="300" w:lineRule="exact"/>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2018-2021</w:t>
            </w:r>
          </w:p>
        </w:tc>
        <w:tc>
          <w:tcPr>
            <w:tcW w:w="1172"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72300</w:t>
            </w:r>
          </w:p>
        </w:tc>
        <w:tc>
          <w:tcPr>
            <w:tcW w:w="1555"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noWrap w:val="0"/>
            <w:vAlign w:val="center"/>
          </w:tcPr>
          <w:p>
            <w:pPr>
              <w:widowControl/>
              <w:spacing w:line="300" w:lineRule="exact"/>
              <w:jc w:val="left"/>
              <w:rPr>
                <w:rFonts w:hint="eastAsia" w:hAnsi="等线" w:eastAsia="仿宋_GB2312" w:cs="宋体"/>
                <w:kern w:val="0"/>
                <w:sz w:val="20"/>
                <w:szCs w:val="20"/>
                <w:lang w:eastAsia="zh-CN"/>
              </w:rPr>
            </w:pPr>
            <w:r>
              <w:rPr>
                <w:rFonts w:hint="eastAsia" w:hAnsi="等线" w:cs="宋体"/>
                <w:kern w:val="0"/>
                <w:sz w:val="20"/>
                <w:szCs w:val="20"/>
                <w:lang w:val="en-US" w:eastAsia="zh-CN"/>
              </w:rPr>
              <w:t>3</w:t>
            </w:r>
          </w:p>
        </w:tc>
        <w:tc>
          <w:tcPr>
            <w:tcW w:w="3387" w:type="dxa"/>
            <w:noWrap w:val="0"/>
            <w:vAlign w:val="center"/>
          </w:tcPr>
          <w:p>
            <w:pPr>
              <w:widowControl/>
              <w:spacing w:line="300" w:lineRule="exact"/>
              <w:jc w:val="left"/>
              <w:rPr>
                <w:rFonts w:hint="eastAsia" w:hAnsi="等线" w:cs="宋体"/>
                <w:kern w:val="0"/>
                <w:sz w:val="20"/>
                <w:szCs w:val="20"/>
              </w:rPr>
            </w:pPr>
            <w:r>
              <w:rPr>
                <w:rFonts w:hint="eastAsia" w:hAnsi="等线" w:cs="宋体"/>
                <w:kern w:val="0"/>
                <w:sz w:val="20"/>
                <w:szCs w:val="20"/>
              </w:rPr>
              <w:t>温州台商科技产业园</w:t>
            </w:r>
          </w:p>
        </w:tc>
        <w:tc>
          <w:tcPr>
            <w:tcW w:w="6668" w:type="dxa"/>
            <w:noWrap w:val="0"/>
            <w:vAlign w:val="top"/>
          </w:tcPr>
          <w:p>
            <w:pPr>
              <w:widowControl/>
              <w:spacing w:line="300" w:lineRule="exact"/>
              <w:jc w:val="left"/>
              <w:rPr>
                <w:rFonts w:hint="eastAsia" w:hAnsi="等线" w:cs="宋体"/>
                <w:kern w:val="0"/>
                <w:sz w:val="20"/>
                <w:szCs w:val="20"/>
              </w:rPr>
            </w:pPr>
            <w:r>
              <w:rPr>
                <w:rFonts w:hint="eastAsia" w:hAnsi="等线" w:cs="宋体"/>
                <w:kern w:val="0"/>
                <w:sz w:val="20"/>
                <w:szCs w:val="20"/>
              </w:rPr>
              <w:t>该项目拟用地 89 亩，主要建设总部、研发、双创、生产办公和配套用房，采用企业联建模式，统一设计、建设和运营，园区分光学智造区、数字经济核心产业区、综合配套服务区等板块，将打造成为智能制造、总部经济、孵化加速等为一体的综合性科技产业园。</w:t>
            </w:r>
          </w:p>
        </w:tc>
        <w:tc>
          <w:tcPr>
            <w:tcW w:w="1282" w:type="dxa"/>
            <w:noWrap w:val="0"/>
            <w:vAlign w:val="center"/>
          </w:tcPr>
          <w:p>
            <w:pPr>
              <w:widowControl/>
              <w:spacing w:line="300" w:lineRule="exact"/>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2020-2022</w:t>
            </w:r>
          </w:p>
        </w:tc>
        <w:tc>
          <w:tcPr>
            <w:tcW w:w="1172"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50000</w:t>
            </w:r>
          </w:p>
        </w:tc>
        <w:tc>
          <w:tcPr>
            <w:tcW w:w="1555"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noWrap w:val="0"/>
            <w:vAlign w:val="center"/>
          </w:tcPr>
          <w:p>
            <w:pPr>
              <w:widowControl/>
              <w:spacing w:line="300" w:lineRule="exact"/>
              <w:jc w:val="left"/>
              <w:rPr>
                <w:rFonts w:hint="eastAsia" w:hAnsi="等线" w:cs="宋体"/>
                <w:kern w:val="0"/>
                <w:sz w:val="20"/>
                <w:szCs w:val="20"/>
                <w:lang w:val="en-US" w:eastAsia="zh-CN"/>
              </w:rPr>
            </w:pPr>
            <w:r>
              <w:rPr>
                <w:rFonts w:hint="eastAsia" w:hAnsi="等线" w:cs="宋体"/>
                <w:kern w:val="0"/>
                <w:sz w:val="20"/>
                <w:szCs w:val="20"/>
                <w:lang w:val="en-US" w:eastAsia="zh-CN"/>
              </w:rPr>
              <w:t>4</w:t>
            </w:r>
          </w:p>
        </w:tc>
        <w:tc>
          <w:tcPr>
            <w:tcW w:w="3387" w:type="dxa"/>
            <w:noWrap w:val="0"/>
            <w:vAlign w:val="center"/>
          </w:tcPr>
          <w:p>
            <w:pPr>
              <w:widowControl/>
              <w:spacing w:line="300" w:lineRule="exact"/>
              <w:jc w:val="left"/>
              <w:rPr>
                <w:rFonts w:hint="eastAsia" w:hAnsi="等线" w:cs="宋体"/>
                <w:kern w:val="0"/>
                <w:sz w:val="20"/>
                <w:szCs w:val="20"/>
                <w:lang w:val="en-US" w:eastAsia="zh-CN"/>
              </w:rPr>
            </w:pPr>
            <w:r>
              <w:rPr>
                <w:rFonts w:hint="eastAsia" w:hAnsi="等线" w:cs="宋体"/>
                <w:kern w:val="0"/>
                <w:sz w:val="20"/>
                <w:szCs w:val="20"/>
                <w:lang w:val="en-US" w:eastAsia="zh-CN"/>
              </w:rPr>
              <w:t>灵昆产业园</w:t>
            </w:r>
          </w:p>
        </w:tc>
        <w:tc>
          <w:tcPr>
            <w:tcW w:w="6668" w:type="dxa"/>
            <w:noWrap w:val="0"/>
            <w:vAlign w:val="top"/>
          </w:tcPr>
          <w:p>
            <w:pPr>
              <w:widowControl/>
              <w:spacing w:line="300" w:lineRule="exact"/>
              <w:jc w:val="left"/>
              <w:rPr>
                <w:rFonts w:hint="eastAsia" w:hAnsi="等线" w:cs="宋体"/>
                <w:kern w:val="0"/>
                <w:sz w:val="20"/>
                <w:szCs w:val="20"/>
                <w:lang w:val="en-US" w:eastAsia="zh-CN"/>
              </w:rPr>
            </w:pPr>
            <w:r>
              <w:rPr>
                <w:rFonts w:hint="eastAsia" w:hAnsi="等线" w:cs="宋体"/>
                <w:kern w:val="0"/>
                <w:sz w:val="20"/>
                <w:szCs w:val="20"/>
                <w:lang w:val="en-US" w:eastAsia="zh-CN"/>
              </w:rPr>
              <w:t>位于灵昆岛，用地面积约1412 亩，建设内容为建造生产厂房，办公楼，宿舍楼等工程。</w:t>
            </w:r>
          </w:p>
        </w:tc>
        <w:tc>
          <w:tcPr>
            <w:tcW w:w="1282" w:type="dxa"/>
            <w:noWrap w:val="0"/>
            <w:vAlign w:val="center"/>
          </w:tcPr>
          <w:p>
            <w:pPr>
              <w:widowControl/>
              <w:spacing w:line="300" w:lineRule="exact"/>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2021-2025</w:t>
            </w:r>
          </w:p>
        </w:tc>
        <w:tc>
          <w:tcPr>
            <w:tcW w:w="1172"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800000</w:t>
            </w:r>
          </w:p>
        </w:tc>
        <w:tc>
          <w:tcPr>
            <w:tcW w:w="1555" w:type="dxa"/>
            <w:noWrap w:val="0"/>
            <w:vAlign w:val="center"/>
          </w:tcPr>
          <w:p>
            <w:pPr>
              <w:widowControl/>
              <w:spacing w:line="30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800000</w:t>
            </w:r>
          </w:p>
        </w:tc>
      </w:tr>
    </w:tbl>
    <w:p>
      <w:pPr>
        <w:spacing w:line="560" w:lineRule="exact"/>
        <w:rPr>
          <w:rFonts w:hint="eastAsia" w:ascii="Times New Roman" w:hAnsi="Times New Roman" w:eastAsia="楷体_GB2312" w:cs="Times New Roman"/>
          <w:b/>
          <w:bCs/>
          <w:color w:val="000000" w:themeColor="text1"/>
          <w:sz w:val="28"/>
          <w:szCs w:val="28"/>
          <w14:textFill>
            <w14:solidFill>
              <w14:schemeClr w14:val="tx1"/>
            </w14:solidFill>
          </w14:textFill>
        </w:rPr>
      </w:pPr>
    </w:p>
    <w:sectPr>
      <w:headerReference r:id="rId10" w:type="default"/>
      <w:footerReference r:id="rId11" w:type="default"/>
      <w:pgSz w:w="16838" w:h="11906" w:orient="landscape"/>
      <w:pgMar w:top="1587" w:right="2098" w:bottom="1474" w:left="1984" w:header="851" w:footer="992" w:gutter="0"/>
      <w:pgNumType w:fmt="numberInDash"/>
      <w:cols w:space="0" w:num="1"/>
      <w:docGrid w:type="linesAndChars" w:linePitch="589" w:charSpace="-2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posOffset>3863340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4.2pt;margin-top:0pt;height:144pt;width:144pt;mso-position-horizontal-relative:margin;mso-wrap-style:none;z-index:251661312;mso-width-relative:page;mso-height-relative:page;" filled="f" stroked="f" coordsize="21600,21600" o:gfxdata="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H+YZ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gutterAtTop/>
  <w:documentProtection w:enforcement="0"/>
  <w:defaultTabStop w:val="420"/>
  <w:drawingGridHorizontalSpacing w:val="319"/>
  <w:drawingGridVerticalSpacing w:val="58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5"/>
    <w:rsid w:val="00012AF6"/>
    <w:rsid w:val="00013223"/>
    <w:rsid w:val="0001357F"/>
    <w:rsid w:val="0005104A"/>
    <w:rsid w:val="00056AAC"/>
    <w:rsid w:val="0006569D"/>
    <w:rsid w:val="00072799"/>
    <w:rsid w:val="0007339B"/>
    <w:rsid w:val="0012778C"/>
    <w:rsid w:val="00131EE6"/>
    <w:rsid w:val="00180859"/>
    <w:rsid w:val="0019266A"/>
    <w:rsid w:val="00193FF8"/>
    <w:rsid w:val="001A3777"/>
    <w:rsid w:val="001B51AD"/>
    <w:rsid w:val="001C0F5E"/>
    <w:rsid w:val="001C507E"/>
    <w:rsid w:val="00244EFF"/>
    <w:rsid w:val="00246D6D"/>
    <w:rsid w:val="00254943"/>
    <w:rsid w:val="002617F9"/>
    <w:rsid w:val="00263DCF"/>
    <w:rsid w:val="00274B48"/>
    <w:rsid w:val="002C7D02"/>
    <w:rsid w:val="002E7DA3"/>
    <w:rsid w:val="002F1724"/>
    <w:rsid w:val="00301716"/>
    <w:rsid w:val="00321C54"/>
    <w:rsid w:val="00365B05"/>
    <w:rsid w:val="004468B3"/>
    <w:rsid w:val="00457146"/>
    <w:rsid w:val="00480922"/>
    <w:rsid w:val="00496D9C"/>
    <w:rsid w:val="004C061B"/>
    <w:rsid w:val="005107FF"/>
    <w:rsid w:val="005339D4"/>
    <w:rsid w:val="0055494C"/>
    <w:rsid w:val="005747AC"/>
    <w:rsid w:val="005922AE"/>
    <w:rsid w:val="005C1622"/>
    <w:rsid w:val="005D0E24"/>
    <w:rsid w:val="005D6C48"/>
    <w:rsid w:val="005E4EE3"/>
    <w:rsid w:val="0060026F"/>
    <w:rsid w:val="00601848"/>
    <w:rsid w:val="00636628"/>
    <w:rsid w:val="00647821"/>
    <w:rsid w:val="00654F89"/>
    <w:rsid w:val="006A78E9"/>
    <w:rsid w:val="006E30FE"/>
    <w:rsid w:val="006F0457"/>
    <w:rsid w:val="00711D4E"/>
    <w:rsid w:val="007244E7"/>
    <w:rsid w:val="007423EB"/>
    <w:rsid w:val="00786FDE"/>
    <w:rsid w:val="0078719E"/>
    <w:rsid w:val="0079549C"/>
    <w:rsid w:val="007D3411"/>
    <w:rsid w:val="007E4AFE"/>
    <w:rsid w:val="007F1FE7"/>
    <w:rsid w:val="008659AC"/>
    <w:rsid w:val="0091165B"/>
    <w:rsid w:val="00925D96"/>
    <w:rsid w:val="0094037F"/>
    <w:rsid w:val="00992347"/>
    <w:rsid w:val="009E052F"/>
    <w:rsid w:val="00A14B3E"/>
    <w:rsid w:val="00A21374"/>
    <w:rsid w:val="00A52ED5"/>
    <w:rsid w:val="00A66C27"/>
    <w:rsid w:val="00A8724F"/>
    <w:rsid w:val="00A95BD0"/>
    <w:rsid w:val="00AC0B05"/>
    <w:rsid w:val="00AD4A18"/>
    <w:rsid w:val="00B02E32"/>
    <w:rsid w:val="00B240D3"/>
    <w:rsid w:val="00B85D5D"/>
    <w:rsid w:val="00B87B37"/>
    <w:rsid w:val="00BD2245"/>
    <w:rsid w:val="00BE085A"/>
    <w:rsid w:val="00C0434F"/>
    <w:rsid w:val="00C24935"/>
    <w:rsid w:val="00C26290"/>
    <w:rsid w:val="00C36C20"/>
    <w:rsid w:val="00C53556"/>
    <w:rsid w:val="00C54322"/>
    <w:rsid w:val="00C76580"/>
    <w:rsid w:val="00C84547"/>
    <w:rsid w:val="00CA484B"/>
    <w:rsid w:val="00CA76E5"/>
    <w:rsid w:val="00D527D6"/>
    <w:rsid w:val="00DB1EF7"/>
    <w:rsid w:val="00DB2CCE"/>
    <w:rsid w:val="00DF5878"/>
    <w:rsid w:val="00E53E7C"/>
    <w:rsid w:val="00E60859"/>
    <w:rsid w:val="00E6201F"/>
    <w:rsid w:val="00EC24ED"/>
    <w:rsid w:val="00EE0A2F"/>
    <w:rsid w:val="00EE2982"/>
    <w:rsid w:val="00F703E1"/>
    <w:rsid w:val="00F87B92"/>
    <w:rsid w:val="00F975A8"/>
    <w:rsid w:val="00FD4D2A"/>
    <w:rsid w:val="01DE1AE3"/>
    <w:rsid w:val="022279B1"/>
    <w:rsid w:val="02290DC9"/>
    <w:rsid w:val="024C1FAC"/>
    <w:rsid w:val="02966D6B"/>
    <w:rsid w:val="02997B7B"/>
    <w:rsid w:val="02AC794E"/>
    <w:rsid w:val="02E50A07"/>
    <w:rsid w:val="02F62239"/>
    <w:rsid w:val="03130785"/>
    <w:rsid w:val="0322156D"/>
    <w:rsid w:val="03842B14"/>
    <w:rsid w:val="039B1BB4"/>
    <w:rsid w:val="03A34F07"/>
    <w:rsid w:val="03A616F2"/>
    <w:rsid w:val="03B2699B"/>
    <w:rsid w:val="03D635FF"/>
    <w:rsid w:val="040F6520"/>
    <w:rsid w:val="045D5879"/>
    <w:rsid w:val="04674951"/>
    <w:rsid w:val="04AB3473"/>
    <w:rsid w:val="053240AA"/>
    <w:rsid w:val="05565666"/>
    <w:rsid w:val="0643117A"/>
    <w:rsid w:val="06456C4B"/>
    <w:rsid w:val="065D1645"/>
    <w:rsid w:val="06746BF6"/>
    <w:rsid w:val="06803B31"/>
    <w:rsid w:val="06C42486"/>
    <w:rsid w:val="0709175B"/>
    <w:rsid w:val="070A6201"/>
    <w:rsid w:val="07801CB3"/>
    <w:rsid w:val="078A70D3"/>
    <w:rsid w:val="07CB6659"/>
    <w:rsid w:val="07D16219"/>
    <w:rsid w:val="08090EA8"/>
    <w:rsid w:val="08BC7A36"/>
    <w:rsid w:val="08F72232"/>
    <w:rsid w:val="092B0CD4"/>
    <w:rsid w:val="0947080E"/>
    <w:rsid w:val="099F14F4"/>
    <w:rsid w:val="09B74A7F"/>
    <w:rsid w:val="09CA209B"/>
    <w:rsid w:val="09CC0A00"/>
    <w:rsid w:val="09DE7474"/>
    <w:rsid w:val="0A017483"/>
    <w:rsid w:val="0A3A4A16"/>
    <w:rsid w:val="0A4474FB"/>
    <w:rsid w:val="0A5265A3"/>
    <w:rsid w:val="0A7A2307"/>
    <w:rsid w:val="0AE453DE"/>
    <w:rsid w:val="0B171112"/>
    <w:rsid w:val="0B247311"/>
    <w:rsid w:val="0B7C20A5"/>
    <w:rsid w:val="0BB644A2"/>
    <w:rsid w:val="0BB873E7"/>
    <w:rsid w:val="0C3A4A41"/>
    <w:rsid w:val="0C6A1DBF"/>
    <w:rsid w:val="0C6F5DD1"/>
    <w:rsid w:val="0C776087"/>
    <w:rsid w:val="0CEB5B41"/>
    <w:rsid w:val="0CEF78E9"/>
    <w:rsid w:val="0D1757B9"/>
    <w:rsid w:val="0D997880"/>
    <w:rsid w:val="0E421009"/>
    <w:rsid w:val="0E550B91"/>
    <w:rsid w:val="0E776098"/>
    <w:rsid w:val="0E8B7AC3"/>
    <w:rsid w:val="0EF10D51"/>
    <w:rsid w:val="0F363EEE"/>
    <w:rsid w:val="0FB37E8E"/>
    <w:rsid w:val="0FEC4B2F"/>
    <w:rsid w:val="10004910"/>
    <w:rsid w:val="1036393C"/>
    <w:rsid w:val="10697400"/>
    <w:rsid w:val="10B5727D"/>
    <w:rsid w:val="10C879D8"/>
    <w:rsid w:val="10CB6EDB"/>
    <w:rsid w:val="10FF7CD6"/>
    <w:rsid w:val="11033642"/>
    <w:rsid w:val="112631AE"/>
    <w:rsid w:val="117B2A92"/>
    <w:rsid w:val="11A150FA"/>
    <w:rsid w:val="11C661B8"/>
    <w:rsid w:val="11D4163B"/>
    <w:rsid w:val="120E17C5"/>
    <w:rsid w:val="120E6B78"/>
    <w:rsid w:val="12A17F7F"/>
    <w:rsid w:val="12CF5B56"/>
    <w:rsid w:val="12FE1D6D"/>
    <w:rsid w:val="133D83A6"/>
    <w:rsid w:val="13775651"/>
    <w:rsid w:val="142D38EA"/>
    <w:rsid w:val="14965EB2"/>
    <w:rsid w:val="14DE17F7"/>
    <w:rsid w:val="14FD0156"/>
    <w:rsid w:val="15292A1D"/>
    <w:rsid w:val="152C3A65"/>
    <w:rsid w:val="161412F5"/>
    <w:rsid w:val="162C47B5"/>
    <w:rsid w:val="16904ED0"/>
    <w:rsid w:val="169201BA"/>
    <w:rsid w:val="174F436C"/>
    <w:rsid w:val="179A2B24"/>
    <w:rsid w:val="17B669EE"/>
    <w:rsid w:val="187D23FF"/>
    <w:rsid w:val="18C51A13"/>
    <w:rsid w:val="192E5AF3"/>
    <w:rsid w:val="198156FE"/>
    <w:rsid w:val="19DB3D12"/>
    <w:rsid w:val="1A122B3F"/>
    <w:rsid w:val="1A35093A"/>
    <w:rsid w:val="1A451662"/>
    <w:rsid w:val="1A7073FA"/>
    <w:rsid w:val="1A936B70"/>
    <w:rsid w:val="1AC77B1E"/>
    <w:rsid w:val="1B0B6D8C"/>
    <w:rsid w:val="1B58605F"/>
    <w:rsid w:val="1BCE25C3"/>
    <w:rsid w:val="1C3652C5"/>
    <w:rsid w:val="1C6F1747"/>
    <w:rsid w:val="1C854D91"/>
    <w:rsid w:val="1C895CE6"/>
    <w:rsid w:val="1C8B46A0"/>
    <w:rsid w:val="1C966FDA"/>
    <w:rsid w:val="1CA83597"/>
    <w:rsid w:val="1D295C2D"/>
    <w:rsid w:val="1D4A05F6"/>
    <w:rsid w:val="1D955EAE"/>
    <w:rsid w:val="1E34028B"/>
    <w:rsid w:val="1E6F4382"/>
    <w:rsid w:val="1E753B4F"/>
    <w:rsid w:val="1ECD3330"/>
    <w:rsid w:val="1EE84301"/>
    <w:rsid w:val="1EEA2683"/>
    <w:rsid w:val="1EED3D15"/>
    <w:rsid w:val="1EF760EA"/>
    <w:rsid w:val="1F1848D8"/>
    <w:rsid w:val="1F621560"/>
    <w:rsid w:val="1F98200B"/>
    <w:rsid w:val="1FA30497"/>
    <w:rsid w:val="1FB247EC"/>
    <w:rsid w:val="2063776E"/>
    <w:rsid w:val="20B3124E"/>
    <w:rsid w:val="20DF1A29"/>
    <w:rsid w:val="20F222D0"/>
    <w:rsid w:val="21163B3D"/>
    <w:rsid w:val="213136F5"/>
    <w:rsid w:val="2136118E"/>
    <w:rsid w:val="21706FB9"/>
    <w:rsid w:val="217B46B1"/>
    <w:rsid w:val="21A143F6"/>
    <w:rsid w:val="21E12CDE"/>
    <w:rsid w:val="220A5643"/>
    <w:rsid w:val="22485B20"/>
    <w:rsid w:val="22CE2A1F"/>
    <w:rsid w:val="230C033A"/>
    <w:rsid w:val="230F08E5"/>
    <w:rsid w:val="234E0FAF"/>
    <w:rsid w:val="2364794D"/>
    <w:rsid w:val="23671683"/>
    <w:rsid w:val="237569D4"/>
    <w:rsid w:val="237C3534"/>
    <w:rsid w:val="23872487"/>
    <w:rsid w:val="23B63ECE"/>
    <w:rsid w:val="23DE75C4"/>
    <w:rsid w:val="23FB5A59"/>
    <w:rsid w:val="243D3CC3"/>
    <w:rsid w:val="244A2050"/>
    <w:rsid w:val="24810F53"/>
    <w:rsid w:val="248E116B"/>
    <w:rsid w:val="24A51405"/>
    <w:rsid w:val="24CF028A"/>
    <w:rsid w:val="24D776B4"/>
    <w:rsid w:val="2544155B"/>
    <w:rsid w:val="25C547D8"/>
    <w:rsid w:val="265B780F"/>
    <w:rsid w:val="269F21A6"/>
    <w:rsid w:val="26D95DD6"/>
    <w:rsid w:val="27384E5C"/>
    <w:rsid w:val="27934688"/>
    <w:rsid w:val="27A72105"/>
    <w:rsid w:val="27E950B5"/>
    <w:rsid w:val="28036745"/>
    <w:rsid w:val="28540C2E"/>
    <w:rsid w:val="28B9548F"/>
    <w:rsid w:val="28DC74C0"/>
    <w:rsid w:val="29A24A89"/>
    <w:rsid w:val="2A03116D"/>
    <w:rsid w:val="2A461035"/>
    <w:rsid w:val="2B17672B"/>
    <w:rsid w:val="2B4E4268"/>
    <w:rsid w:val="2B687024"/>
    <w:rsid w:val="2C083712"/>
    <w:rsid w:val="2C5960C8"/>
    <w:rsid w:val="2C602166"/>
    <w:rsid w:val="2C793298"/>
    <w:rsid w:val="2D491F8F"/>
    <w:rsid w:val="2D592539"/>
    <w:rsid w:val="2DA400ED"/>
    <w:rsid w:val="2DAA7FBE"/>
    <w:rsid w:val="2E2015EC"/>
    <w:rsid w:val="2E5A5513"/>
    <w:rsid w:val="2E8736A8"/>
    <w:rsid w:val="2E8A3EC5"/>
    <w:rsid w:val="2EA8519D"/>
    <w:rsid w:val="2EAE6205"/>
    <w:rsid w:val="2EB46674"/>
    <w:rsid w:val="2EB5561E"/>
    <w:rsid w:val="2EBD3E04"/>
    <w:rsid w:val="2EE73E22"/>
    <w:rsid w:val="2F2E0483"/>
    <w:rsid w:val="2F65407C"/>
    <w:rsid w:val="2F904D4C"/>
    <w:rsid w:val="2F97417C"/>
    <w:rsid w:val="2FBD207B"/>
    <w:rsid w:val="2FC2403D"/>
    <w:rsid w:val="303F40E8"/>
    <w:rsid w:val="307F10C3"/>
    <w:rsid w:val="30993E32"/>
    <w:rsid w:val="30A256F4"/>
    <w:rsid w:val="30B057F4"/>
    <w:rsid w:val="311520B4"/>
    <w:rsid w:val="32036164"/>
    <w:rsid w:val="32507677"/>
    <w:rsid w:val="32551A05"/>
    <w:rsid w:val="32961589"/>
    <w:rsid w:val="32974E20"/>
    <w:rsid w:val="32E93126"/>
    <w:rsid w:val="330C12E6"/>
    <w:rsid w:val="33181A94"/>
    <w:rsid w:val="33460DDD"/>
    <w:rsid w:val="33761540"/>
    <w:rsid w:val="33875060"/>
    <w:rsid w:val="340848F5"/>
    <w:rsid w:val="341957D1"/>
    <w:rsid w:val="34D71125"/>
    <w:rsid w:val="34FF150A"/>
    <w:rsid w:val="35244793"/>
    <w:rsid w:val="3538229B"/>
    <w:rsid w:val="353E63CE"/>
    <w:rsid w:val="35480C45"/>
    <w:rsid w:val="3565799C"/>
    <w:rsid w:val="359A1A3E"/>
    <w:rsid w:val="35D44D9C"/>
    <w:rsid w:val="3630312A"/>
    <w:rsid w:val="36606720"/>
    <w:rsid w:val="36630304"/>
    <w:rsid w:val="367243FF"/>
    <w:rsid w:val="36B101AA"/>
    <w:rsid w:val="36B56742"/>
    <w:rsid w:val="36F439FE"/>
    <w:rsid w:val="372E5F99"/>
    <w:rsid w:val="37344B37"/>
    <w:rsid w:val="37A90A3D"/>
    <w:rsid w:val="37EA4663"/>
    <w:rsid w:val="37F4439A"/>
    <w:rsid w:val="381A2EB5"/>
    <w:rsid w:val="38500239"/>
    <w:rsid w:val="38531EFE"/>
    <w:rsid w:val="38C80ED5"/>
    <w:rsid w:val="398E57BE"/>
    <w:rsid w:val="399256CC"/>
    <w:rsid w:val="39A0584F"/>
    <w:rsid w:val="39AF04A4"/>
    <w:rsid w:val="39CE1A36"/>
    <w:rsid w:val="39D3052A"/>
    <w:rsid w:val="39E51BCE"/>
    <w:rsid w:val="39E62857"/>
    <w:rsid w:val="39F13595"/>
    <w:rsid w:val="3A425C2D"/>
    <w:rsid w:val="3A5B0B58"/>
    <w:rsid w:val="3A721810"/>
    <w:rsid w:val="3AE3513F"/>
    <w:rsid w:val="3AED709A"/>
    <w:rsid w:val="3B134667"/>
    <w:rsid w:val="3B183F7B"/>
    <w:rsid w:val="3B2D7B2B"/>
    <w:rsid w:val="3B396140"/>
    <w:rsid w:val="3B69649B"/>
    <w:rsid w:val="3B6A2ADD"/>
    <w:rsid w:val="3B96538D"/>
    <w:rsid w:val="3BD90FE9"/>
    <w:rsid w:val="3C3025E7"/>
    <w:rsid w:val="3C842A16"/>
    <w:rsid w:val="3D0E5EC3"/>
    <w:rsid w:val="3D255E5F"/>
    <w:rsid w:val="3D2B09CA"/>
    <w:rsid w:val="3D7E53FE"/>
    <w:rsid w:val="3D860BE6"/>
    <w:rsid w:val="3DAA6C51"/>
    <w:rsid w:val="3DB11526"/>
    <w:rsid w:val="3E235D56"/>
    <w:rsid w:val="3E442020"/>
    <w:rsid w:val="3E845CEA"/>
    <w:rsid w:val="3EA26D1F"/>
    <w:rsid w:val="3F0F3DFA"/>
    <w:rsid w:val="3F31276D"/>
    <w:rsid w:val="3F3170D7"/>
    <w:rsid w:val="3F365D14"/>
    <w:rsid w:val="3F3D70D4"/>
    <w:rsid w:val="3F775819"/>
    <w:rsid w:val="3F9B20AA"/>
    <w:rsid w:val="3FEB1528"/>
    <w:rsid w:val="3FF21229"/>
    <w:rsid w:val="402533AA"/>
    <w:rsid w:val="40544A0F"/>
    <w:rsid w:val="409C36A3"/>
    <w:rsid w:val="40BC141C"/>
    <w:rsid w:val="411D3E83"/>
    <w:rsid w:val="41C30493"/>
    <w:rsid w:val="41F31293"/>
    <w:rsid w:val="42F47F45"/>
    <w:rsid w:val="42F95612"/>
    <w:rsid w:val="434928C2"/>
    <w:rsid w:val="43623AFB"/>
    <w:rsid w:val="437F500B"/>
    <w:rsid w:val="43A9689F"/>
    <w:rsid w:val="4447487B"/>
    <w:rsid w:val="44643A58"/>
    <w:rsid w:val="448264A6"/>
    <w:rsid w:val="448E2E5F"/>
    <w:rsid w:val="44B05595"/>
    <w:rsid w:val="44C1134C"/>
    <w:rsid w:val="44CD6CE1"/>
    <w:rsid w:val="45B93408"/>
    <w:rsid w:val="45DA5BD2"/>
    <w:rsid w:val="45F846F5"/>
    <w:rsid w:val="460E5FB8"/>
    <w:rsid w:val="46B52791"/>
    <w:rsid w:val="471B2CBC"/>
    <w:rsid w:val="4725438D"/>
    <w:rsid w:val="47B70F87"/>
    <w:rsid w:val="47C31451"/>
    <w:rsid w:val="47EA37E7"/>
    <w:rsid w:val="47F80E85"/>
    <w:rsid w:val="481F4ABC"/>
    <w:rsid w:val="48A34F22"/>
    <w:rsid w:val="48C5794A"/>
    <w:rsid w:val="48D951A8"/>
    <w:rsid w:val="4937126F"/>
    <w:rsid w:val="49474BCE"/>
    <w:rsid w:val="49930C96"/>
    <w:rsid w:val="49937663"/>
    <w:rsid w:val="49D54D05"/>
    <w:rsid w:val="49F3073C"/>
    <w:rsid w:val="4A255BD9"/>
    <w:rsid w:val="4A403FBC"/>
    <w:rsid w:val="4A62416C"/>
    <w:rsid w:val="4AB7132D"/>
    <w:rsid w:val="4AE45DAD"/>
    <w:rsid w:val="4B0F0A98"/>
    <w:rsid w:val="4B8E00EC"/>
    <w:rsid w:val="4B95208A"/>
    <w:rsid w:val="4BB01FEF"/>
    <w:rsid w:val="4BB70F61"/>
    <w:rsid w:val="4BFC5C7F"/>
    <w:rsid w:val="4C3279EC"/>
    <w:rsid w:val="4C41165E"/>
    <w:rsid w:val="4C5630E7"/>
    <w:rsid w:val="4C9B44E1"/>
    <w:rsid w:val="4CA96DC3"/>
    <w:rsid w:val="4CAC6C1C"/>
    <w:rsid w:val="4CAE3A9C"/>
    <w:rsid w:val="4CDD37E5"/>
    <w:rsid w:val="4CDE4AA4"/>
    <w:rsid w:val="4D315793"/>
    <w:rsid w:val="4D681933"/>
    <w:rsid w:val="4D877321"/>
    <w:rsid w:val="4DB9396C"/>
    <w:rsid w:val="4DDD0F8E"/>
    <w:rsid w:val="4DEF4BE1"/>
    <w:rsid w:val="4E13102D"/>
    <w:rsid w:val="4E440922"/>
    <w:rsid w:val="4E576D36"/>
    <w:rsid w:val="4E8F7003"/>
    <w:rsid w:val="4EA60BDA"/>
    <w:rsid w:val="4F1F0584"/>
    <w:rsid w:val="4F5E3367"/>
    <w:rsid w:val="4FD30BBD"/>
    <w:rsid w:val="4FE312BC"/>
    <w:rsid w:val="50066635"/>
    <w:rsid w:val="50072BAA"/>
    <w:rsid w:val="507F15CC"/>
    <w:rsid w:val="50AE70A7"/>
    <w:rsid w:val="50B766C6"/>
    <w:rsid w:val="50B93F46"/>
    <w:rsid w:val="50EC56A4"/>
    <w:rsid w:val="50FF2B78"/>
    <w:rsid w:val="51177E60"/>
    <w:rsid w:val="512F675A"/>
    <w:rsid w:val="51317859"/>
    <w:rsid w:val="519B2757"/>
    <w:rsid w:val="51B1534D"/>
    <w:rsid w:val="51F37404"/>
    <w:rsid w:val="52707719"/>
    <w:rsid w:val="528F7D05"/>
    <w:rsid w:val="530C2F35"/>
    <w:rsid w:val="532C44A6"/>
    <w:rsid w:val="53713E05"/>
    <w:rsid w:val="53847F51"/>
    <w:rsid w:val="53A16372"/>
    <w:rsid w:val="53BF24A5"/>
    <w:rsid w:val="54267E64"/>
    <w:rsid w:val="545722B5"/>
    <w:rsid w:val="546165E2"/>
    <w:rsid w:val="549C2D72"/>
    <w:rsid w:val="54AC6FE5"/>
    <w:rsid w:val="54AF4517"/>
    <w:rsid w:val="54C00793"/>
    <w:rsid w:val="54D93270"/>
    <w:rsid w:val="55266D66"/>
    <w:rsid w:val="552D3300"/>
    <w:rsid w:val="55560C40"/>
    <w:rsid w:val="557E224C"/>
    <w:rsid w:val="55C20428"/>
    <w:rsid w:val="55F37C58"/>
    <w:rsid w:val="55FC619C"/>
    <w:rsid w:val="56040CFE"/>
    <w:rsid w:val="561E1881"/>
    <w:rsid w:val="56236D7C"/>
    <w:rsid w:val="56525F93"/>
    <w:rsid w:val="56534078"/>
    <w:rsid w:val="56AF5ABA"/>
    <w:rsid w:val="56B813AD"/>
    <w:rsid w:val="56CC1F30"/>
    <w:rsid w:val="56FC71CA"/>
    <w:rsid w:val="57145E9B"/>
    <w:rsid w:val="575D0F71"/>
    <w:rsid w:val="57A018D6"/>
    <w:rsid w:val="57A3223B"/>
    <w:rsid w:val="57B21A9E"/>
    <w:rsid w:val="580460D7"/>
    <w:rsid w:val="581B5AD6"/>
    <w:rsid w:val="582805E8"/>
    <w:rsid w:val="58465422"/>
    <w:rsid w:val="58504EB4"/>
    <w:rsid w:val="58A64C4C"/>
    <w:rsid w:val="58AC050F"/>
    <w:rsid w:val="58BD4F94"/>
    <w:rsid w:val="58D54206"/>
    <w:rsid w:val="58FD26C5"/>
    <w:rsid w:val="592752E0"/>
    <w:rsid w:val="59381D3B"/>
    <w:rsid w:val="597831A3"/>
    <w:rsid w:val="59A541A4"/>
    <w:rsid w:val="59A63EC7"/>
    <w:rsid w:val="59DE3D54"/>
    <w:rsid w:val="59DF3C47"/>
    <w:rsid w:val="59E1217B"/>
    <w:rsid w:val="59EF3A61"/>
    <w:rsid w:val="5A435A21"/>
    <w:rsid w:val="5A4557F5"/>
    <w:rsid w:val="5A6657B9"/>
    <w:rsid w:val="5A6D2BA6"/>
    <w:rsid w:val="5AD87DB4"/>
    <w:rsid w:val="5B7E027B"/>
    <w:rsid w:val="5B8A7C33"/>
    <w:rsid w:val="5BE00B75"/>
    <w:rsid w:val="5C1D4878"/>
    <w:rsid w:val="5C2D37B3"/>
    <w:rsid w:val="5C2D75AA"/>
    <w:rsid w:val="5C30053B"/>
    <w:rsid w:val="5C3D6A91"/>
    <w:rsid w:val="5C796643"/>
    <w:rsid w:val="5C800AF4"/>
    <w:rsid w:val="5C877693"/>
    <w:rsid w:val="5C8C0C4D"/>
    <w:rsid w:val="5CAD6837"/>
    <w:rsid w:val="5CEE3FD1"/>
    <w:rsid w:val="5D332494"/>
    <w:rsid w:val="5D670634"/>
    <w:rsid w:val="5D81246D"/>
    <w:rsid w:val="5D820634"/>
    <w:rsid w:val="5D9D0F9C"/>
    <w:rsid w:val="5DA9387D"/>
    <w:rsid w:val="5DAA1F24"/>
    <w:rsid w:val="5DBB2176"/>
    <w:rsid w:val="5DC27CA4"/>
    <w:rsid w:val="5DF14A6A"/>
    <w:rsid w:val="5EAC6EE5"/>
    <w:rsid w:val="5EB224E3"/>
    <w:rsid w:val="5ED773C5"/>
    <w:rsid w:val="5F16261A"/>
    <w:rsid w:val="5F1B1425"/>
    <w:rsid w:val="5F9515CC"/>
    <w:rsid w:val="5FAC5111"/>
    <w:rsid w:val="5FC66115"/>
    <w:rsid w:val="608A1302"/>
    <w:rsid w:val="60BA5185"/>
    <w:rsid w:val="60CE7A4C"/>
    <w:rsid w:val="60D91151"/>
    <w:rsid w:val="60ED22F9"/>
    <w:rsid w:val="6102153F"/>
    <w:rsid w:val="615A6900"/>
    <w:rsid w:val="61682D40"/>
    <w:rsid w:val="617C466F"/>
    <w:rsid w:val="61A93FC8"/>
    <w:rsid w:val="61CC02E1"/>
    <w:rsid w:val="61D53BD6"/>
    <w:rsid w:val="61E87D01"/>
    <w:rsid w:val="61FF25DB"/>
    <w:rsid w:val="621E107C"/>
    <w:rsid w:val="62471FC6"/>
    <w:rsid w:val="628306A6"/>
    <w:rsid w:val="62E26173"/>
    <w:rsid w:val="6325095A"/>
    <w:rsid w:val="633D4B6D"/>
    <w:rsid w:val="633D5285"/>
    <w:rsid w:val="63401B53"/>
    <w:rsid w:val="6385274D"/>
    <w:rsid w:val="63F91037"/>
    <w:rsid w:val="64061E67"/>
    <w:rsid w:val="640B36EA"/>
    <w:rsid w:val="641350E6"/>
    <w:rsid w:val="644F44D1"/>
    <w:rsid w:val="64874AD0"/>
    <w:rsid w:val="64B021A5"/>
    <w:rsid w:val="64C94D68"/>
    <w:rsid w:val="64CE41EF"/>
    <w:rsid w:val="6532092F"/>
    <w:rsid w:val="653826BC"/>
    <w:rsid w:val="654B4BF4"/>
    <w:rsid w:val="655B7C22"/>
    <w:rsid w:val="658F75FF"/>
    <w:rsid w:val="659C0DCC"/>
    <w:rsid w:val="65B123AA"/>
    <w:rsid w:val="664E41E5"/>
    <w:rsid w:val="66866BA4"/>
    <w:rsid w:val="66AC491B"/>
    <w:rsid w:val="66BA74DC"/>
    <w:rsid w:val="66CD66CC"/>
    <w:rsid w:val="66F056D1"/>
    <w:rsid w:val="67027511"/>
    <w:rsid w:val="670D4EE4"/>
    <w:rsid w:val="671D0AAC"/>
    <w:rsid w:val="672A0C00"/>
    <w:rsid w:val="67315873"/>
    <w:rsid w:val="67AD5723"/>
    <w:rsid w:val="681E21A0"/>
    <w:rsid w:val="68520380"/>
    <w:rsid w:val="68BE6645"/>
    <w:rsid w:val="68DF2D8B"/>
    <w:rsid w:val="68E333D6"/>
    <w:rsid w:val="68EC6715"/>
    <w:rsid w:val="68F266A2"/>
    <w:rsid w:val="69100129"/>
    <w:rsid w:val="69454E9D"/>
    <w:rsid w:val="699906F4"/>
    <w:rsid w:val="69AD5836"/>
    <w:rsid w:val="69BB13E4"/>
    <w:rsid w:val="69EA2889"/>
    <w:rsid w:val="6A0E113E"/>
    <w:rsid w:val="6A477CE5"/>
    <w:rsid w:val="6A6B75D0"/>
    <w:rsid w:val="6A9F344B"/>
    <w:rsid w:val="6AD17385"/>
    <w:rsid w:val="6B096215"/>
    <w:rsid w:val="6B265023"/>
    <w:rsid w:val="6B3D30AD"/>
    <w:rsid w:val="6B5057DC"/>
    <w:rsid w:val="6B5E24AB"/>
    <w:rsid w:val="6B783A97"/>
    <w:rsid w:val="6B7B08EA"/>
    <w:rsid w:val="6B8451DB"/>
    <w:rsid w:val="6BF6507D"/>
    <w:rsid w:val="6BFB3441"/>
    <w:rsid w:val="6C6B1235"/>
    <w:rsid w:val="6CD62CB0"/>
    <w:rsid w:val="6D105975"/>
    <w:rsid w:val="6D4D74AA"/>
    <w:rsid w:val="6D7E502B"/>
    <w:rsid w:val="6DA84381"/>
    <w:rsid w:val="6DD71850"/>
    <w:rsid w:val="6E1B3368"/>
    <w:rsid w:val="6EAF2DD8"/>
    <w:rsid w:val="6EFF3475"/>
    <w:rsid w:val="6F3E41E6"/>
    <w:rsid w:val="6F457637"/>
    <w:rsid w:val="6F645AE8"/>
    <w:rsid w:val="6FC443B2"/>
    <w:rsid w:val="6FCE5B46"/>
    <w:rsid w:val="6FD425C7"/>
    <w:rsid w:val="7052149D"/>
    <w:rsid w:val="70681359"/>
    <w:rsid w:val="70747C25"/>
    <w:rsid w:val="7083233D"/>
    <w:rsid w:val="70852B18"/>
    <w:rsid w:val="70B43966"/>
    <w:rsid w:val="711A5F66"/>
    <w:rsid w:val="71237A6B"/>
    <w:rsid w:val="714C05FD"/>
    <w:rsid w:val="716D62B9"/>
    <w:rsid w:val="71951320"/>
    <w:rsid w:val="71955C2D"/>
    <w:rsid w:val="71DB250F"/>
    <w:rsid w:val="71DF02D2"/>
    <w:rsid w:val="72541C0C"/>
    <w:rsid w:val="72817552"/>
    <w:rsid w:val="72A51C5F"/>
    <w:rsid w:val="72BD2416"/>
    <w:rsid w:val="72E05F71"/>
    <w:rsid w:val="73287DBB"/>
    <w:rsid w:val="737331EA"/>
    <w:rsid w:val="73901B67"/>
    <w:rsid w:val="73A00F28"/>
    <w:rsid w:val="73CA1151"/>
    <w:rsid w:val="73DD51F5"/>
    <w:rsid w:val="74167A28"/>
    <w:rsid w:val="74305ED7"/>
    <w:rsid w:val="745E6974"/>
    <w:rsid w:val="7489025A"/>
    <w:rsid w:val="75135DBF"/>
    <w:rsid w:val="75290ACA"/>
    <w:rsid w:val="75832681"/>
    <w:rsid w:val="75886A29"/>
    <w:rsid w:val="75A9022C"/>
    <w:rsid w:val="75DF2730"/>
    <w:rsid w:val="7610190F"/>
    <w:rsid w:val="7614783C"/>
    <w:rsid w:val="76227E0C"/>
    <w:rsid w:val="76260B11"/>
    <w:rsid w:val="76261910"/>
    <w:rsid w:val="767B78E5"/>
    <w:rsid w:val="76E26283"/>
    <w:rsid w:val="76F716DC"/>
    <w:rsid w:val="771B2B45"/>
    <w:rsid w:val="77616CEF"/>
    <w:rsid w:val="7793E2B6"/>
    <w:rsid w:val="77C42ABD"/>
    <w:rsid w:val="77CB73D0"/>
    <w:rsid w:val="782C5395"/>
    <w:rsid w:val="78312534"/>
    <w:rsid w:val="78460BF5"/>
    <w:rsid w:val="784D0482"/>
    <w:rsid w:val="78886D8D"/>
    <w:rsid w:val="78FD0DEF"/>
    <w:rsid w:val="792F1F43"/>
    <w:rsid w:val="79C941D4"/>
    <w:rsid w:val="7A20347D"/>
    <w:rsid w:val="7A571CA2"/>
    <w:rsid w:val="7AE000C5"/>
    <w:rsid w:val="7AF46067"/>
    <w:rsid w:val="7B046198"/>
    <w:rsid w:val="7B1D7288"/>
    <w:rsid w:val="7B3D44D0"/>
    <w:rsid w:val="7B483DE2"/>
    <w:rsid w:val="7B527170"/>
    <w:rsid w:val="7B7C425B"/>
    <w:rsid w:val="7B7D5941"/>
    <w:rsid w:val="7BEF12EE"/>
    <w:rsid w:val="7C062729"/>
    <w:rsid w:val="7C0E441F"/>
    <w:rsid w:val="7C283A7E"/>
    <w:rsid w:val="7C3E0F45"/>
    <w:rsid w:val="7C83655B"/>
    <w:rsid w:val="7C8B301E"/>
    <w:rsid w:val="7CA569AC"/>
    <w:rsid w:val="7CAF0A3F"/>
    <w:rsid w:val="7D39178A"/>
    <w:rsid w:val="7D5A3484"/>
    <w:rsid w:val="7D5E0628"/>
    <w:rsid w:val="7D6C619D"/>
    <w:rsid w:val="7D760F03"/>
    <w:rsid w:val="7D87464C"/>
    <w:rsid w:val="7DD25600"/>
    <w:rsid w:val="7DE51C34"/>
    <w:rsid w:val="7DE93E49"/>
    <w:rsid w:val="7E0C21B4"/>
    <w:rsid w:val="7E2412AD"/>
    <w:rsid w:val="7E9F0F21"/>
    <w:rsid w:val="7F204A2E"/>
    <w:rsid w:val="7F964FC9"/>
    <w:rsid w:val="7F965CA3"/>
    <w:rsid w:val="BA1FD244"/>
    <w:rsid w:val="DF96FF24"/>
    <w:rsid w:val="FFFD80EB"/>
    <w:rsid w:val="FFFF2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5">
    <w:name w:val="heading 1"/>
    <w:basedOn w:val="1"/>
    <w:next w:val="1"/>
    <w:link w:val="28"/>
    <w:qFormat/>
    <w:uiPriority w:val="0"/>
    <w:pPr>
      <w:keepNext/>
      <w:keepLines/>
      <w:spacing w:line="576" w:lineRule="auto"/>
      <w:jc w:val="center"/>
      <w:outlineLvl w:val="0"/>
    </w:pPr>
    <w:rPr>
      <w:rFonts w:ascii="Courier New" w:hAnsi="Courier New" w:eastAsia="宋体" w:cs="Courier New"/>
      <w:b/>
      <w:color w:val="000000"/>
      <w:kern w:val="44"/>
      <w:sz w:val="44"/>
      <w:lang w:val="zh-CN"/>
    </w:rPr>
  </w:style>
  <w:style w:type="paragraph" w:styleId="6">
    <w:name w:val="heading 2"/>
    <w:basedOn w:val="1"/>
    <w:next w:val="1"/>
    <w:link w:val="29"/>
    <w:unhideWhenUsed/>
    <w:qFormat/>
    <w:uiPriority w:val="0"/>
    <w:pPr>
      <w:keepNext/>
      <w:keepLines/>
      <w:spacing w:before="260" w:after="260" w:line="416" w:lineRule="atLeast"/>
      <w:outlineLvl w:val="1"/>
    </w:pPr>
    <w:rPr>
      <w:rFonts w:asciiTheme="majorHAnsi" w:hAnsiTheme="majorHAnsi" w:eastAsiaTheme="majorEastAsia" w:cstheme="majorBidi"/>
      <w:b/>
      <w:bCs/>
    </w:rPr>
  </w:style>
  <w:style w:type="paragraph" w:styleId="7">
    <w:name w:val="heading 3"/>
    <w:basedOn w:val="6"/>
    <w:next w:val="1"/>
    <w:link w:val="37"/>
    <w:unhideWhenUsed/>
    <w:qFormat/>
    <w:uiPriority w:val="9"/>
    <w:pPr>
      <w:spacing w:before="0" w:after="0" w:line="240" w:lineRule="auto"/>
      <w:ind w:firstLine="643"/>
      <w:outlineLvl w:val="2"/>
    </w:pPr>
    <w:rPr>
      <w:rFonts w:ascii="仿宋_GB2312" w:eastAsia="仿宋_GB231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customStyle="1" w:styleId="2">
    <w:name w:val="Body Text First Indent1"/>
    <w:basedOn w:val="3"/>
    <w:qFormat/>
    <w:uiPriority w:val="0"/>
    <w:pPr>
      <w:spacing w:line="500" w:lineRule="exact"/>
      <w:ind w:firstLine="420"/>
      <w:jc w:val="center"/>
    </w:pPr>
    <w:rPr>
      <w:rFonts w:ascii="Calibri" w:hAnsi="Calibri" w:eastAsia="宋体" w:cs="Times New Roman"/>
      <w:sz w:val="28"/>
      <w:szCs w:val="20"/>
    </w:rPr>
  </w:style>
  <w:style w:type="paragraph" w:styleId="3">
    <w:name w:val="Body Text"/>
    <w:basedOn w:val="1"/>
    <w:next w:val="4"/>
    <w:link w:val="39"/>
    <w:qFormat/>
    <w:uiPriority w:val="0"/>
    <w:rPr>
      <w:rFonts w:ascii="Arial" w:hAnsi="Arial"/>
      <w:bCs/>
      <w:sz w:val="24"/>
    </w:rPr>
  </w:style>
  <w:style w:type="paragraph" w:customStyle="1" w:styleId="4">
    <w:name w:val="正文文本首行缩进1"/>
    <w:basedOn w:val="3"/>
    <w:qFormat/>
    <w:uiPriority w:val="0"/>
    <w:pPr>
      <w:spacing w:line="500" w:lineRule="exact"/>
      <w:ind w:firstLine="420"/>
    </w:pPr>
    <w:rPr>
      <w:rFonts w:cs="Times New Roman"/>
      <w:sz w:val="28"/>
    </w:rPr>
  </w:style>
  <w:style w:type="paragraph" w:styleId="8">
    <w:name w:val="caption"/>
    <w:basedOn w:val="1"/>
    <w:next w:val="1"/>
    <w:unhideWhenUsed/>
    <w:qFormat/>
    <w:uiPriority w:val="0"/>
    <w:rPr>
      <w:rFonts w:ascii="Arial" w:hAnsi="Arial" w:eastAsia="黑体"/>
      <w:sz w:val="20"/>
    </w:rPr>
  </w:style>
  <w:style w:type="paragraph" w:styleId="9">
    <w:name w:val="annotation text"/>
    <w:basedOn w:val="1"/>
    <w:qFormat/>
    <w:uiPriority w:val="0"/>
    <w:pPr>
      <w:jc w:val="left"/>
    </w:pPr>
  </w:style>
  <w:style w:type="paragraph" w:styleId="10">
    <w:name w:val="Body Text Indent"/>
    <w:basedOn w:val="1"/>
    <w:semiHidden/>
    <w:unhideWhenUsed/>
    <w:qFormat/>
    <w:uiPriority w:val="99"/>
    <w:pPr>
      <w:spacing w:after="120"/>
      <w:ind w:left="420" w:leftChars="200"/>
    </w:pPr>
  </w:style>
  <w:style w:type="paragraph" w:styleId="11">
    <w:name w:val="Block Text"/>
    <w:basedOn w:val="1"/>
    <w:unhideWhenUsed/>
    <w:qFormat/>
    <w:uiPriority w:val="99"/>
    <w:pPr>
      <w:spacing w:after="120"/>
      <w:ind w:left="1440" w:leftChars="700" w:right="700" w:rightChars="700"/>
    </w:pPr>
  </w:style>
  <w:style w:type="paragraph" w:styleId="12">
    <w:name w:val="toc 3"/>
    <w:basedOn w:val="1"/>
    <w:next w:val="1"/>
    <w:qFormat/>
    <w:uiPriority w:val="0"/>
    <w:pPr>
      <w:ind w:left="840" w:leftChars="4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Body Text First Indent"/>
    <w:basedOn w:val="3"/>
    <w:next w:val="1"/>
    <w:qFormat/>
    <w:uiPriority w:val="0"/>
    <w:pPr>
      <w:spacing w:after="120"/>
      <w:ind w:firstLine="420" w:firstLineChars="100"/>
    </w:pPr>
    <w:rPr>
      <w:rFonts w:ascii="Times New Roman" w:hAnsi="Times New Roman"/>
      <w:bCs w:val="0"/>
      <w:sz w:val="21"/>
    </w:rPr>
  </w:style>
  <w:style w:type="paragraph" w:styleId="19">
    <w:name w:val="Body Text First Indent 2"/>
    <w:basedOn w:val="10"/>
    <w:qFormat/>
    <w:uiPriority w:val="0"/>
    <w:pPr>
      <w:tabs>
        <w:tab w:val="left" w:pos="0"/>
        <w:tab w:val="left" w:pos="360"/>
        <w:tab w:val="left" w:pos="1080"/>
        <w:tab w:val="left" w:pos="1800"/>
        <w:tab w:val="left" w:pos="2520"/>
        <w:tab w:val="left" w:pos="3240"/>
        <w:tab w:val="left" w:pos="3960"/>
        <w:tab w:val="left" w:pos="4680"/>
      </w:tabs>
      <w:autoSpaceDE w:val="0"/>
      <w:autoSpaceDN w:val="0"/>
      <w:adjustRightInd w:val="0"/>
      <w:ind w:right="-53" w:firstLine="420"/>
    </w:pPr>
    <w:rPr>
      <w:rFonts w:cs="宋体"/>
      <w:b/>
      <w:color w:val="000000"/>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FollowedHyperlink"/>
    <w:basedOn w:val="22"/>
    <w:qFormat/>
    <w:uiPriority w:val="0"/>
    <w:rPr>
      <w:color w:val="111111"/>
      <w:u w:val="none"/>
    </w:rPr>
  </w:style>
  <w:style w:type="character" w:styleId="25">
    <w:name w:val="Emphasis"/>
    <w:basedOn w:val="22"/>
    <w:qFormat/>
    <w:uiPriority w:val="0"/>
    <w:rPr>
      <w:i/>
    </w:rPr>
  </w:style>
  <w:style w:type="character" w:styleId="26">
    <w:name w:val="Hyperlink"/>
    <w:basedOn w:val="22"/>
    <w:qFormat/>
    <w:uiPriority w:val="99"/>
    <w:rPr>
      <w:color w:val="111111"/>
      <w:u w:val="none"/>
    </w:rPr>
  </w:style>
  <w:style w:type="paragraph" w:customStyle="1" w:styleId="27">
    <w:name w:val="Fließtext"/>
    <w:basedOn w:val="1"/>
    <w:qFormat/>
    <w:uiPriority w:val="0"/>
    <w:pPr>
      <w:overflowPunct w:val="0"/>
      <w:autoSpaceDE w:val="0"/>
      <w:autoSpaceDN w:val="0"/>
      <w:adjustRightInd w:val="0"/>
    </w:pPr>
    <w:rPr>
      <w:kern w:val="28"/>
    </w:rPr>
  </w:style>
  <w:style w:type="character" w:customStyle="1" w:styleId="28">
    <w:name w:val="标题 1 字符"/>
    <w:link w:val="5"/>
    <w:qFormat/>
    <w:uiPriority w:val="99"/>
    <w:rPr>
      <w:rFonts w:ascii="Courier New" w:hAnsi="Courier New" w:eastAsia="宋体" w:cs="Courier New"/>
      <w:b/>
      <w:color w:val="000000"/>
      <w:kern w:val="44"/>
      <w:sz w:val="44"/>
      <w:lang w:val="zh-CN"/>
    </w:rPr>
  </w:style>
  <w:style w:type="character" w:customStyle="1" w:styleId="29">
    <w:name w:val="标题 2 字符"/>
    <w:basedOn w:val="22"/>
    <w:link w:val="6"/>
    <w:qFormat/>
    <w:uiPriority w:val="9"/>
    <w:rPr>
      <w:rFonts w:asciiTheme="majorHAnsi" w:hAnsiTheme="majorHAnsi" w:eastAsiaTheme="majorEastAsia" w:cstheme="majorBidi"/>
      <w:b/>
      <w:bCs/>
      <w:sz w:val="32"/>
      <w:szCs w:val="32"/>
    </w:rPr>
  </w:style>
  <w:style w:type="character" w:customStyle="1" w:styleId="30">
    <w:name w:val="px141"/>
    <w:basedOn w:val="22"/>
    <w:qFormat/>
    <w:uiPriority w:val="0"/>
    <w:rPr>
      <w:rFonts w:hint="default" w:ascii="ˎ̥" w:hAnsi="ˎ̥"/>
      <w:color w:val="000000"/>
      <w:sz w:val="21"/>
      <w:szCs w:val="21"/>
      <w:u w:val="none"/>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WPSOffice手动目录 3"/>
    <w:qFormat/>
    <w:uiPriority w:val="0"/>
    <w:pPr>
      <w:ind w:left="400" w:leftChars="400"/>
    </w:pPr>
    <w:rPr>
      <w:rFonts w:ascii="Times New Roman" w:hAnsi="Times New Roman" w:eastAsia="宋体" w:cs="Times New Roman"/>
      <w:lang w:val="en-US" w:eastAsia="zh-CN" w:bidi="ar-SA"/>
    </w:rPr>
  </w:style>
  <w:style w:type="paragraph" w:styleId="34">
    <w:name w:val="List Paragraph"/>
    <w:basedOn w:val="1"/>
    <w:qFormat/>
    <w:uiPriority w:val="34"/>
    <w:pPr>
      <w:ind w:firstLine="420" w:firstLineChars="200"/>
    </w:pPr>
  </w:style>
  <w:style w:type="character" w:customStyle="1" w:styleId="35">
    <w:name w:val="font131"/>
    <w:qFormat/>
    <w:uiPriority w:val="0"/>
    <w:rPr>
      <w:rFonts w:hint="eastAsia" w:ascii="仿宋_GB2312" w:eastAsia="仿宋_GB2312" w:cs="仿宋_GB2312"/>
      <w:color w:val="000000"/>
      <w:sz w:val="18"/>
      <w:szCs w:val="18"/>
      <w:u w:val="none"/>
    </w:rPr>
  </w:style>
  <w:style w:type="character" w:customStyle="1" w:styleId="36">
    <w:name w:val="font51"/>
    <w:qFormat/>
    <w:uiPriority w:val="0"/>
    <w:rPr>
      <w:rFonts w:hint="eastAsia" w:ascii="仿宋_GB2312" w:eastAsia="仿宋_GB2312" w:cs="仿宋_GB2312"/>
      <w:color w:val="000000"/>
      <w:sz w:val="18"/>
      <w:szCs w:val="18"/>
      <w:u w:val="none"/>
    </w:rPr>
  </w:style>
  <w:style w:type="character" w:customStyle="1" w:styleId="37">
    <w:name w:val="标题 3 字符"/>
    <w:basedOn w:val="22"/>
    <w:link w:val="7"/>
    <w:qFormat/>
    <w:uiPriority w:val="9"/>
    <w:rPr>
      <w:rFonts w:ascii="仿宋_GB2312" w:eastAsia="仿宋_GB2312"/>
    </w:rPr>
  </w:style>
  <w:style w:type="character" w:customStyle="1" w:styleId="38">
    <w:name w:val="17"/>
    <w:qFormat/>
    <w:uiPriority w:val="0"/>
    <w:rPr>
      <w:rFonts w:hint="eastAsia" w:ascii="仿宋_GB2312" w:eastAsia="仿宋_GB2312"/>
      <w:color w:val="000000"/>
      <w:sz w:val="18"/>
      <w:szCs w:val="18"/>
    </w:rPr>
  </w:style>
  <w:style w:type="character" w:customStyle="1" w:styleId="39">
    <w:name w:val="正文文本 字符"/>
    <w:basedOn w:val="22"/>
    <w:link w:val="3"/>
    <w:qFormat/>
    <w:uiPriority w:val="0"/>
    <w:rPr>
      <w:rFonts w:ascii="Arial" w:hAnsi="Arial" w:eastAsia="仿宋_GB2312" w:cs="仿宋_GB2312"/>
      <w:bCs/>
      <w:kern w:val="2"/>
      <w:sz w:val="24"/>
      <w:szCs w:val="32"/>
    </w:rPr>
  </w:style>
  <w:style w:type="paragraph" w:customStyle="1" w:styleId="40">
    <w:name w:val="修订1"/>
    <w:hidden/>
    <w:semiHidden/>
    <w:qFormat/>
    <w:uiPriority w:val="99"/>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79014-3192-4E2B-9380-65E36B113C33}">
  <ds:schemaRefs/>
</ds:datastoreItem>
</file>

<file path=docProps/app.xml><?xml version="1.0" encoding="utf-8"?>
<Properties xmlns="http://schemas.openxmlformats.org/officeDocument/2006/extended-properties" xmlns:vt="http://schemas.openxmlformats.org/officeDocument/2006/docPropsVTypes">
  <Template>Normal</Template>
  <Pages>57</Pages>
  <Words>5175</Words>
  <Characters>29500</Characters>
  <Lines>245</Lines>
  <Paragraphs>69</Paragraphs>
  <TotalTime>2</TotalTime>
  <ScaleCrop>false</ScaleCrop>
  <LinksUpToDate>false</LinksUpToDate>
  <CharactersWithSpaces>34606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2021-05-25T03:13:00Z</dcterms:created>
  <dc:creator>Administrator</dc:creator>
  <cp:lastModifiedBy>张庆</cp:lastModifiedBy>
  <cp:lastPrinted>2021-05-10T09:33:00Z</cp:lastPrinted>
  <dcterms:modified xsi:type="dcterms:W3CDTF">2021-07-12T01:32:35Z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B4A4A1E6735748E5BE34122AB3BEDCD0</vt:lpwstr>
  </property>
</Properties>
</file>